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DD" w:rsidRPr="00414A61" w:rsidRDefault="00045EDD" w:rsidP="00045EDD">
      <w:pPr>
        <w:pBdr>
          <w:top w:val="single" w:sz="4" w:space="1" w:color="auto"/>
          <w:left w:val="single" w:sz="4" w:space="4" w:color="auto"/>
          <w:bottom w:val="single" w:sz="4" w:space="0" w:color="auto"/>
          <w:right w:val="single" w:sz="4" w:space="4" w:color="auto"/>
        </w:pBdr>
        <w:spacing w:line="360" w:lineRule="auto"/>
        <w:jc w:val="center"/>
        <w:rPr>
          <w:rFonts w:ascii="Tahoma" w:hAnsi="Tahoma" w:cs="Tahoma"/>
          <w:b/>
          <w:bCs/>
          <w:sz w:val="28"/>
          <w:szCs w:val="28"/>
          <w:u w:val="single"/>
        </w:rPr>
      </w:pPr>
      <w:r w:rsidRPr="00F154D8">
        <w:rPr>
          <w:rFonts w:ascii="Tahoma" w:hAnsi="Tahoma" w:cs="Tahoma"/>
          <w:b/>
          <w:bCs/>
          <w:sz w:val="28"/>
          <w:szCs w:val="28"/>
        </w:rPr>
        <w:t>«</w:t>
      </w:r>
      <w:r w:rsidRPr="00FA6131">
        <w:rPr>
          <w:rFonts w:ascii="Tahoma" w:hAnsi="Tahoma" w:cs="Tahoma"/>
          <w:b/>
          <w:bCs/>
          <w:sz w:val="28"/>
          <w:szCs w:val="28"/>
          <w:u w:val="single"/>
        </w:rPr>
        <w:t>ΕΛΛΗΝΙΚΟ ΚΕΝΤΡΟ ΑΝΑΚΥΚΛΩΣΗΣ Α.Β.Ε.Ε.</w:t>
      </w:r>
      <w:r w:rsidRPr="00F154D8">
        <w:rPr>
          <w:rFonts w:ascii="Tahoma" w:hAnsi="Tahoma" w:cs="Tahoma"/>
          <w:b/>
          <w:bCs/>
          <w:sz w:val="28"/>
          <w:szCs w:val="28"/>
        </w:rPr>
        <w:t>»</w:t>
      </w:r>
    </w:p>
    <w:p w:rsidR="00045EDD" w:rsidRPr="00F154D8" w:rsidRDefault="00045EDD" w:rsidP="00045EDD">
      <w:pPr>
        <w:spacing w:line="360" w:lineRule="auto"/>
        <w:rPr>
          <w:rFonts w:ascii="Tahoma" w:hAnsi="Tahoma" w:cs="Tahoma"/>
        </w:rPr>
      </w:pPr>
    </w:p>
    <w:p w:rsidR="00206011" w:rsidRPr="00F154D8" w:rsidRDefault="00206011" w:rsidP="00F154D8">
      <w:pPr>
        <w:spacing w:line="360" w:lineRule="auto"/>
        <w:rPr>
          <w:rFonts w:ascii="Tahoma" w:hAnsi="Tahoma" w:cs="Tahoma"/>
        </w:rPr>
      </w:pPr>
    </w:p>
    <w:p w:rsidR="00206011" w:rsidRPr="00F154D8" w:rsidRDefault="00206011" w:rsidP="00F154D8">
      <w:pPr>
        <w:spacing w:line="360" w:lineRule="auto"/>
        <w:jc w:val="center"/>
        <w:rPr>
          <w:rFonts w:ascii="Tahoma" w:hAnsi="Tahoma" w:cs="Tahoma"/>
          <w:b/>
          <w:bCs/>
          <w:u w:val="single"/>
        </w:rPr>
      </w:pPr>
      <w:r w:rsidRPr="00F154D8">
        <w:rPr>
          <w:rFonts w:ascii="Tahoma" w:hAnsi="Tahoma" w:cs="Tahoma"/>
          <w:b/>
          <w:bCs/>
          <w:u w:val="single"/>
        </w:rPr>
        <w:t xml:space="preserve">ΕΚΘΕΣΗ </w:t>
      </w:r>
      <w:r w:rsidR="00F136DB">
        <w:rPr>
          <w:rFonts w:ascii="Tahoma" w:hAnsi="Tahoma" w:cs="Tahoma"/>
          <w:b/>
          <w:bCs/>
          <w:u w:val="single"/>
        </w:rPr>
        <w:t>ΔΙΑΧΕΙΡ</w:t>
      </w:r>
      <w:r w:rsidR="005E3612">
        <w:rPr>
          <w:rFonts w:ascii="Tahoma" w:hAnsi="Tahoma" w:cs="Tahoma"/>
          <w:b/>
          <w:bCs/>
          <w:u w:val="single"/>
        </w:rPr>
        <w:t>ΙΣΗΣ</w:t>
      </w:r>
      <w:r w:rsidRPr="00F154D8">
        <w:rPr>
          <w:rFonts w:ascii="Tahoma" w:hAnsi="Tahoma" w:cs="Tahoma"/>
          <w:b/>
          <w:bCs/>
          <w:u w:val="single"/>
        </w:rPr>
        <w:t xml:space="preserve"> </w:t>
      </w:r>
    </w:p>
    <w:p w:rsidR="00206011" w:rsidRPr="00AC7882" w:rsidRDefault="00206011" w:rsidP="00F154D8">
      <w:pPr>
        <w:spacing w:line="360" w:lineRule="auto"/>
        <w:jc w:val="center"/>
        <w:rPr>
          <w:rFonts w:ascii="Tahoma" w:hAnsi="Tahoma" w:cs="Tahoma"/>
          <w:b/>
          <w:bCs/>
          <w:u w:val="single"/>
        </w:rPr>
      </w:pPr>
      <w:r w:rsidRPr="00F154D8">
        <w:rPr>
          <w:rFonts w:ascii="Tahoma" w:hAnsi="Tahoma" w:cs="Tahoma"/>
          <w:b/>
          <w:bCs/>
          <w:u w:val="single"/>
        </w:rPr>
        <w:t>ΕΠΙ ΤΩΝ ΟΙΚΟΝΟΜΙΚΩΝ ΚΑΤΑΣΤΑΣΕΩΝ ΤΗΣ ΧΡΗΣΕΩΣ 20</w:t>
      </w:r>
      <w:r w:rsidR="009F20B2">
        <w:rPr>
          <w:rFonts w:ascii="Tahoma" w:hAnsi="Tahoma" w:cs="Tahoma"/>
          <w:b/>
          <w:bCs/>
          <w:u w:val="single"/>
        </w:rPr>
        <w:t>1</w:t>
      </w:r>
      <w:r w:rsidR="00AC7882" w:rsidRPr="00AC7882">
        <w:rPr>
          <w:rFonts w:ascii="Tahoma" w:hAnsi="Tahoma" w:cs="Tahoma"/>
          <w:b/>
          <w:bCs/>
          <w:u w:val="single"/>
        </w:rPr>
        <w:t>8</w:t>
      </w:r>
    </w:p>
    <w:p w:rsidR="00206011" w:rsidRPr="00F154D8" w:rsidRDefault="00206011" w:rsidP="00F154D8">
      <w:pPr>
        <w:spacing w:line="360" w:lineRule="auto"/>
        <w:jc w:val="center"/>
        <w:rPr>
          <w:rFonts w:ascii="Tahoma" w:hAnsi="Tahoma" w:cs="Tahoma"/>
          <w:b/>
          <w:bCs/>
          <w:u w:val="single"/>
        </w:rPr>
      </w:pPr>
      <w:r w:rsidRPr="00F154D8">
        <w:rPr>
          <w:rFonts w:ascii="Tahoma" w:hAnsi="Tahoma" w:cs="Tahoma"/>
          <w:b/>
          <w:bCs/>
          <w:u w:val="single"/>
        </w:rPr>
        <w:t>(1</w:t>
      </w:r>
      <w:r w:rsidRPr="00F154D8">
        <w:rPr>
          <w:rFonts w:ascii="Tahoma" w:hAnsi="Tahoma" w:cs="Tahoma"/>
          <w:b/>
          <w:bCs/>
          <w:u w:val="single"/>
          <w:vertAlign w:val="superscript"/>
        </w:rPr>
        <w:t xml:space="preserve">η  </w:t>
      </w:r>
      <w:r w:rsidRPr="00F154D8">
        <w:rPr>
          <w:rFonts w:ascii="Tahoma" w:hAnsi="Tahoma" w:cs="Tahoma"/>
          <w:b/>
          <w:bCs/>
          <w:u w:val="single"/>
        </w:rPr>
        <w:t>Ιανουαρίου – 31</w:t>
      </w:r>
      <w:r w:rsidRPr="00F154D8">
        <w:rPr>
          <w:rFonts w:ascii="Tahoma" w:hAnsi="Tahoma" w:cs="Tahoma"/>
          <w:b/>
          <w:bCs/>
          <w:u w:val="single"/>
          <w:vertAlign w:val="superscript"/>
        </w:rPr>
        <w:t>η</w:t>
      </w:r>
      <w:r w:rsidRPr="00F154D8">
        <w:rPr>
          <w:rFonts w:ascii="Tahoma" w:hAnsi="Tahoma" w:cs="Tahoma"/>
          <w:b/>
          <w:bCs/>
          <w:u w:val="single"/>
        </w:rPr>
        <w:t xml:space="preserve"> Δεκεμβρίου 20</w:t>
      </w:r>
      <w:r w:rsidR="009F20B2">
        <w:rPr>
          <w:rFonts w:ascii="Tahoma" w:hAnsi="Tahoma" w:cs="Tahoma"/>
          <w:b/>
          <w:bCs/>
          <w:u w:val="single"/>
        </w:rPr>
        <w:t>1</w:t>
      </w:r>
      <w:r w:rsidR="00AC7882" w:rsidRPr="00FB299C">
        <w:rPr>
          <w:rFonts w:ascii="Tahoma" w:hAnsi="Tahoma" w:cs="Tahoma"/>
          <w:b/>
          <w:bCs/>
          <w:u w:val="single"/>
        </w:rPr>
        <w:t>8</w:t>
      </w:r>
      <w:r w:rsidRPr="00F154D8">
        <w:rPr>
          <w:rFonts w:ascii="Tahoma" w:hAnsi="Tahoma" w:cs="Tahoma"/>
          <w:b/>
          <w:bCs/>
          <w:u w:val="single"/>
        </w:rPr>
        <w:t>)</w:t>
      </w:r>
    </w:p>
    <w:p w:rsidR="00206011" w:rsidRDefault="00206011" w:rsidP="00F136DB">
      <w:pPr>
        <w:spacing w:line="276" w:lineRule="auto"/>
        <w:rPr>
          <w:rFonts w:ascii="Tahoma" w:hAnsi="Tahoma" w:cs="Tahoma"/>
        </w:rPr>
      </w:pPr>
    </w:p>
    <w:p w:rsidR="003B51C5" w:rsidRPr="003B51C5" w:rsidRDefault="003B51C5" w:rsidP="003B51C5">
      <w:pPr>
        <w:rPr>
          <w:rFonts w:ascii="Tahoma" w:hAnsi="Tahoma" w:cs="Tahoma"/>
        </w:rPr>
      </w:pPr>
      <w:r w:rsidRPr="003B51C5">
        <w:rPr>
          <w:rFonts w:ascii="Tahoma" w:hAnsi="Tahoma" w:cs="Tahoma"/>
        </w:rPr>
        <w:t>Κύριοι Μέτοχοι,</w:t>
      </w:r>
    </w:p>
    <w:p w:rsidR="003B51C5" w:rsidRPr="003B51C5" w:rsidRDefault="003B51C5" w:rsidP="003B51C5">
      <w:pPr>
        <w:rPr>
          <w:rFonts w:ascii="Tahoma" w:hAnsi="Tahoma" w:cs="Tahoma"/>
        </w:rPr>
      </w:pPr>
    </w:p>
    <w:p w:rsidR="003B51C5" w:rsidRPr="003B51C5" w:rsidRDefault="003B51C5" w:rsidP="003B51C5">
      <w:pPr>
        <w:rPr>
          <w:rFonts w:ascii="Tahoma" w:hAnsi="Tahoma" w:cs="Tahoma"/>
        </w:rPr>
      </w:pPr>
      <w:r w:rsidRPr="003B51C5">
        <w:rPr>
          <w:rFonts w:ascii="Tahoma" w:hAnsi="Tahoma" w:cs="Tahoma"/>
        </w:rPr>
        <w:t>Η παρούσα Ετήσια Έκθεση Διαχείρισης</w:t>
      </w:r>
      <w:r w:rsidR="00A57885">
        <w:rPr>
          <w:rFonts w:ascii="Tahoma" w:hAnsi="Tahoma" w:cs="Tahoma"/>
        </w:rPr>
        <w:t xml:space="preserve"> του Διοικητικού Συμβουλίου της</w:t>
      </w:r>
      <w:r w:rsidR="00701430" w:rsidRPr="00F154D8">
        <w:rPr>
          <w:rFonts w:ascii="Tahoma" w:hAnsi="Tahoma" w:cs="Tahoma"/>
        </w:rPr>
        <w:t xml:space="preserve"> εταιρείας </w:t>
      </w:r>
      <w:r w:rsidR="00E22B88" w:rsidRPr="00F154D8">
        <w:rPr>
          <w:rFonts w:ascii="Tahoma" w:hAnsi="Tahoma" w:cs="Tahoma"/>
        </w:rPr>
        <w:t xml:space="preserve"> </w:t>
      </w:r>
      <w:r w:rsidR="00E22B88" w:rsidRPr="00B30719">
        <w:rPr>
          <w:rFonts w:ascii="Tahoma" w:hAnsi="Tahoma" w:cs="Tahoma"/>
          <w:b/>
          <w:bCs/>
        </w:rPr>
        <w:t>“</w:t>
      </w:r>
      <w:r w:rsidR="00CA79EB">
        <w:rPr>
          <w:rFonts w:ascii="Tahoma" w:hAnsi="Tahoma" w:cs="Tahoma"/>
          <w:b/>
          <w:bCs/>
        </w:rPr>
        <w:t>ΕΛΛΗΝΙΚΟ ΚΕΝΤΡΟ ΑΝΑΚΥΚΛΩΣΗΣ Α.Β.Ε.Ε</w:t>
      </w:r>
      <w:r w:rsidR="00E22B88" w:rsidRPr="00B30719">
        <w:rPr>
          <w:rFonts w:ascii="Tahoma" w:hAnsi="Tahoma" w:cs="Tahoma"/>
          <w:b/>
          <w:bCs/>
        </w:rPr>
        <w:t>”</w:t>
      </w:r>
      <w:r w:rsidR="00701430">
        <w:rPr>
          <w:rFonts w:ascii="Tahoma" w:hAnsi="Tahoma" w:cs="Tahoma"/>
        </w:rPr>
        <w:t>,</w:t>
      </w:r>
      <w:r w:rsidRPr="003B51C5">
        <w:rPr>
          <w:rFonts w:ascii="Tahoma" w:hAnsi="Tahoma" w:cs="Tahoma"/>
        </w:rPr>
        <w:t xml:space="preserve"> αφορά τη χρήση από 1</w:t>
      </w:r>
      <w:r w:rsidRPr="003B51C5">
        <w:rPr>
          <w:rFonts w:ascii="Tahoma" w:hAnsi="Tahoma" w:cs="Tahoma"/>
          <w:vertAlign w:val="superscript"/>
        </w:rPr>
        <w:t>ης</w:t>
      </w:r>
      <w:r w:rsidRPr="003B51C5">
        <w:rPr>
          <w:rFonts w:ascii="Tahoma" w:hAnsi="Tahoma" w:cs="Tahoma"/>
        </w:rPr>
        <w:t xml:space="preserve"> Ιανουαρίου έως 31</w:t>
      </w:r>
      <w:r w:rsidRPr="003B51C5">
        <w:rPr>
          <w:rFonts w:ascii="Tahoma" w:hAnsi="Tahoma" w:cs="Tahoma"/>
          <w:vertAlign w:val="superscript"/>
        </w:rPr>
        <w:t>ης</w:t>
      </w:r>
      <w:r w:rsidR="00E22B88">
        <w:rPr>
          <w:rFonts w:ascii="Tahoma" w:hAnsi="Tahoma" w:cs="Tahoma"/>
        </w:rPr>
        <w:t xml:space="preserve"> Δεκεμβρίου 201</w:t>
      </w:r>
      <w:r w:rsidR="00AC7882" w:rsidRPr="00AC7882">
        <w:rPr>
          <w:rFonts w:ascii="Tahoma" w:hAnsi="Tahoma" w:cs="Tahoma"/>
        </w:rPr>
        <w:t>8</w:t>
      </w:r>
      <w:r w:rsidRPr="003B51C5">
        <w:rPr>
          <w:rFonts w:ascii="Tahoma" w:hAnsi="Tahoma" w:cs="Tahoma"/>
        </w:rPr>
        <w:t xml:space="preserve"> και συντάχθηκε σύμφωνα με τις σχετικές διατάξεις του Κ.Ν. 2190/1920 άρθρο 43α.</w:t>
      </w:r>
    </w:p>
    <w:p w:rsidR="003B51C5" w:rsidRPr="003B51C5" w:rsidRDefault="003B51C5" w:rsidP="003B51C5">
      <w:pPr>
        <w:rPr>
          <w:rFonts w:ascii="Tahoma" w:hAnsi="Tahoma" w:cs="Tahoma"/>
        </w:rPr>
      </w:pPr>
    </w:p>
    <w:p w:rsidR="003B51C5" w:rsidRPr="003B51C5" w:rsidRDefault="003B51C5" w:rsidP="003B51C5">
      <w:pPr>
        <w:rPr>
          <w:rFonts w:ascii="Tahoma" w:hAnsi="Tahoma" w:cs="Tahoma"/>
        </w:rPr>
      </w:pPr>
      <w:r w:rsidRPr="003B51C5">
        <w:rPr>
          <w:rFonts w:ascii="Tahoma" w:hAnsi="Tahoma" w:cs="Tahoma"/>
        </w:rPr>
        <w:t>Στην παρούσα έκθεση όλες οι επιμέρους θεματικές ενότητες, οι οποίες είναι απαραίτητες, με βάση το ως άνω νομοθετικό πλαίσιο, απεικονίζουν με τρόπο αληθή και συνοπτικό πλην όμως ουσιαστικό, όλες τις σχετικές και αναγ</w:t>
      </w:r>
      <w:r w:rsidR="00701430">
        <w:rPr>
          <w:rFonts w:ascii="Tahoma" w:hAnsi="Tahoma" w:cs="Tahoma"/>
        </w:rPr>
        <w:t>καίες κατά το νόμο πληροφορίες,</w:t>
      </w:r>
      <w:r w:rsidRPr="003B51C5">
        <w:rPr>
          <w:rFonts w:ascii="Tahoma" w:hAnsi="Tahoma" w:cs="Tahoma"/>
        </w:rPr>
        <w:t xml:space="preserve"> προκειμένου να εξαχθεί μια ουσιαστική και εμπεριστατωμένη ενημέρωση για τη δραστηριότητα της </w:t>
      </w:r>
      <w:r w:rsidR="001844F3">
        <w:rPr>
          <w:rFonts w:ascii="Tahoma" w:hAnsi="Tahoma" w:cs="Tahoma"/>
        </w:rPr>
        <w:t>Εταιρεία</w:t>
      </w:r>
      <w:r w:rsidRPr="003B51C5">
        <w:rPr>
          <w:rFonts w:ascii="Tahoma" w:hAnsi="Tahoma" w:cs="Tahoma"/>
        </w:rPr>
        <w:t xml:space="preserve">ς κατά την εν λόγω χρονική περίοδο. </w:t>
      </w:r>
    </w:p>
    <w:p w:rsidR="003B51C5" w:rsidRPr="003B51C5" w:rsidRDefault="003B51C5" w:rsidP="003B51C5">
      <w:pPr>
        <w:rPr>
          <w:rFonts w:ascii="Tahoma" w:hAnsi="Tahoma" w:cs="Tahoma"/>
        </w:rPr>
      </w:pPr>
    </w:p>
    <w:p w:rsidR="003B51C5" w:rsidRPr="003B51C5" w:rsidRDefault="003B51C5" w:rsidP="003B51C5">
      <w:pPr>
        <w:rPr>
          <w:rFonts w:ascii="Tahoma" w:hAnsi="Tahoma" w:cs="Tahoma"/>
        </w:rPr>
      </w:pPr>
      <w:r w:rsidRPr="003B51C5">
        <w:rPr>
          <w:rFonts w:ascii="Tahoma" w:hAnsi="Tahoma" w:cs="Tahoma"/>
        </w:rPr>
        <w:t xml:space="preserve">Σκοπός των θεματικών ενοτήτων της έκθεσης είναι η ενημέρωση των χρηστών: </w:t>
      </w:r>
    </w:p>
    <w:p w:rsidR="003B51C5" w:rsidRPr="003B51C5" w:rsidRDefault="003B51C5" w:rsidP="003B51C5">
      <w:pPr>
        <w:rPr>
          <w:rFonts w:ascii="Tahoma" w:hAnsi="Tahoma" w:cs="Tahoma"/>
        </w:rPr>
      </w:pPr>
    </w:p>
    <w:p w:rsidR="003B51C5" w:rsidRPr="003B51C5" w:rsidRDefault="003B51C5" w:rsidP="003B51C5">
      <w:pPr>
        <w:pStyle w:val="a7"/>
        <w:widowControl/>
        <w:numPr>
          <w:ilvl w:val="0"/>
          <w:numId w:val="17"/>
        </w:numPr>
        <w:adjustRightInd/>
        <w:spacing w:line="312" w:lineRule="auto"/>
        <w:contextualSpacing w:val="0"/>
        <w:textAlignment w:val="auto"/>
        <w:rPr>
          <w:rFonts w:ascii="Tahoma" w:hAnsi="Tahoma" w:cs="Tahoma"/>
        </w:rPr>
      </w:pPr>
      <w:r w:rsidRPr="003B51C5">
        <w:rPr>
          <w:rFonts w:ascii="Tahoma" w:hAnsi="Tahoma" w:cs="Tahoma"/>
        </w:rPr>
        <w:t xml:space="preserve">Για την χρηματοοικονομική θέση, τις επιδόσεις και τα λοιπά πληροφοριακά στοιχεία της </w:t>
      </w:r>
      <w:r w:rsidR="001844F3">
        <w:rPr>
          <w:rFonts w:ascii="Tahoma" w:hAnsi="Tahoma" w:cs="Tahoma"/>
        </w:rPr>
        <w:t>Εταιρεία</w:t>
      </w:r>
      <w:r w:rsidRPr="003B51C5">
        <w:rPr>
          <w:rFonts w:ascii="Tahoma" w:hAnsi="Tahoma" w:cs="Tahoma"/>
        </w:rPr>
        <w:t>ς κατά την εξεταζόμενη χρήση,</w:t>
      </w:r>
    </w:p>
    <w:p w:rsidR="003B51C5" w:rsidRPr="003B51C5" w:rsidRDefault="003B51C5" w:rsidP="003B51C5">
      <w:pPr>
        <w:pStyle w:val="a7"/>
        <w:widowControl/>
        <w:numPr>
          <w:ilvl w:val="0"/>
          <w:numId w:val="17"/>
        </w:numPr>
        <w:adjustRightInd/>
        <w:spacing w:line="312" w:lineRule="auto"/>
        <w:contextualSpacing w:val="0"/>
        <w:textAlignment w:val="auto"/>
        <w:rPr>
          <w:rFonts w:ascii="Tahoma" w:hAnsi="Tahoma" w:cs="Tahoma"/>
        </w:rPr>
      </w:pPr>
      <w:r w:rsidRPr="003B51C5">
        <w:rPr>
          <w:rFonts w:ascii="Tahoma" w:hAnsi="Tahoma" w:cs="Tahoma"/>
        </w:rPr>
        <w:t>Για τα σημαντικά γεγονότα που έλαβαν χώρα κατά την διάρκεια της εξεταζόμενης χρήσης και την επίδρασή τους στις ετήσιες Οικονομικές καταστάσεις,</w:t>
      </w:r>
    </w:p>
    <w:p w:rsidR="003B51C5" w:rsidRPr="003B51C5" w:rsidRDefault="003B51C5" w:rsidP="003B51C5">
      <w:pPr>
        <w:pStyle w:val="a7"/>
        <w:widowControl/>
        <w:numPr>
          <w:ilvl w:val="0"/>
          <w:numId w:val="17"/>
        </w:numPr>
        <w:adjustRightInd/>
        <w:spacing w:line="312" w:lineRule="auto"/>
        <w:contextualSpacing w:val="0"/>
        <w:textAlignment w:val="auto"/>
        <w:rPr>
          <w:rFonts w:ascii="Tahoma" w:hAnsi="Tahoma" w:cs="Tahoma"/>
        </w:rPr>
      </w:pPr>
      <w:r w:rsidRPr="003B51C5">
        <w:rPr>
          <w:rFonts w:ascii="Tahoma" w:hAnsi="Tahoma" w:cs="Tahoma"/>
        </w:rPr>
        <w:t xml:space="preserve">Για τις προοπτικές και τους στρατηγικούς στόχους και της </w:t>
      </w:r>
      <w:r w:rsidR="001844F3">
        <w:rPr>
          <w:rFonts w:ascii="Tahoma" w:hAnsi="Tahoma" w:cs="Tahoma"/>
        </w:rPr>
        <w:t>Εταιρεία</w:t>
      </w:r>
      <w:r w:rsidRPr="003B51C5">
        <w:rPr>
          <w:rFonts w:ascii="Tahoma" w:hAnsi="Tahoma" w:cs="Tahoma"/>
        </w:rPr>
        <w:t>ς,</w:t>
      </w:r>
    </w:p>
    <w:p w:rsidR="003B51C5" w:rsidRPr="003B51C5" w:rsidRDefault="003B51C5" w:rsidP="003B51C5">
      <w:pPr>
        <w:pStyle w:val="a7"/>
        <w:widowControl/>
        <w:numPr>
          <w:ilvl w:val="0"/>
          <w:numId w:val="17"/>
        </w:numPr>
        <w:adjustRightInd/>
        <w:spacing w:line="312" w:lineRule="auto"/>
        <w:contextualSpacing w:val="0"/>
        <w:textAlignment w:val="auto"/>
        <w:rPr>
          <w:rFonts w:ascii="Tahoma" w:hAnsi="Tahoma" w:cs="Tahoma"/>
        </w:rPr>
      </w:pPr>
      <w:r w:rsidRPr="003B51C5">
        <w:rPr>
          <w:rFonts w:ascii="Tahoma" w:hAnsi="Tahoma" w:cs="Tahoma"/>
        </w:rPr>
        <w:t xml:space="preserve">Για τους κινδύνους που ενδέχεται να προκύψουν για την </w:t>
      </w:r>
      <w:r w:rsidR="001844F3">
        <w:rPr>
          <w:rFonts w:ascii="Tahoma" w:hAnsi="Tahoma" w:cs="Tahoma"/>
        </w:rPr>
        <w:t>Εταιρεία</w:t>
      </w:r>
      <w:r w:rsidRPr="003B51C5">
        <w:rPr>
          <w:rFonts w:ascii="Tahoma" w:hAnsi="Tahoma" w:cs="Tahoma"/>
        </w:rPr>
        <w:t xml:space="preserve">, </w:t>
      </w:r>
    </w:p>
    <w:p w:rsidR="003B51C5" w:rsidRPr="003B51C5" w:rsidRDefault="003B51C5" w:rsidP="003B51C5">
      <w:pPr>
        <w:pStyle w:val="a7"/>
        <w:widowControl/>
        <w:numPr>
          <w:ilvl w:val="0"/>
          <w:numId w:val="17"/>
        </w:numPr>
        <w:adjustRightInd/>
        <w:spacing w:line="312" w:lineRule="auto"/>
        <w:contextualSpacing w:val="0"/>
        <w:textAlignment w:val="auto"/>
        <w:rPr>
          <w:rFonts w:ascii="Tahoma" w:hAnsi="Tahoma" w:cs="Tahoma"/>
        </w:rPr>
      </w:pPr>
      <w:r w:rsidRPr="003B51C5">
        <w:rPr>
          <w:rFonts w:ascii="Tahoma" w:hAnsi="Tahoma" w:cs="Tahoma"/>
        </w:rPr>
        <w:t xml:space="preserve">Για τις συναλλαγές που έγιναν μεταξύ της </w:t>
      </w:r>
      <w:r w:rsidR="001844F3">
        <w:rPr>
          <w:rFonts w:ascii="Tahoma" w:hAnsi="Tahoma" w:cs="Tahoma"/>
        </w:rPr>
        <w:t>Εταιρεία</w:t>
      </w:r>
      <w:r w:rsidRPr="003B51C5">
        <w:rPr>
          <w:rFonts w:ascii="Tahoma" w:hAnsi="Tahoma" w:cs="Tahoma"/>
        </w:rPr>
        <w:t>ς και των συνδεδεμένων με αυτήν μερών,</w:t>
      </w:r>
    </w:p>
    <w:p w:rsidR="003B51C5" w:rsidRPr="003B51C5" w:rsidRDefault="003B51C5" w:rsidP="003B51C5">
      <w:pPr>
        <w:pStyle w:val="a7"/>
        <w:widowControl/>
        <w:numPr>
          <w:ilvl w:val="0"/>
          <w:numId w:val="17"/>
        </w:numPr>
        <w:adjustRightInd/>
        <w:spacing w:line="312" w:lineRule="auto"/>
        <w:contextualSpacing w:val="0"/>
        <w:textAlignment w:val="auto"/>
        <w:rPr>
          <w:rFonts w:ascii="Tahoma" w:hAnsi="Tahoma" w:cs="Tahoma"/>
        </w:rPr>
      </w:pPr>
      <w:r w:rsidRPr="003B51C5">
        <w:rPr>
          <w:rFonts w:ascii="Tahoma" w:hAnsi="Tahoma" w:cs="Tahoma"/>
        </w:rPr>
        <w:t>Για τα σημαντικά γεγονότα που έλαβαν χώρα μετά την λήξη της εξεταζόμενης χρήσης έως και την σύνταξη της παρούσης.</w:t>
      </w:r>
    </w:p>
    <w:p w:rsidR="003B51C5" w:rsidRPr="003B51C5" w:rsidRDefault="003B51C5" w:rsidP="003B51C5">
      <w:pPr>
        <w:rPr>
          <w:rFonts w:ascii="Tahoma" w:hAnsi="Tahoma" w:cs="Tahoma"/>
        </w:rPr>
      </w:pPr>
    </w:p>
    <w:p w:rsidR="003B51C5" w:rsidRPr="003B51C5" w:rsidRDefault="003B51C5" w:rsidP="003B51C5">
      <w:pPr>
        <w:rPr>
          <w:rFonts w:ascii="Tahoma" w:hAnsi="Tahoma" w:cs="Tahoma"/>
        </w:rPr>
      </w:pPr>
      <w:r w:rsidRPr="003B51C5">
        <w:rPr>
          <w:rFonts w:ascii="Tahoma" w:hAnsi="Tahoma" w:cs="Tahoma"/>
        </w:rPr>
        <w:t xml:space="preserve">Η Έκθεση περιλαμβάνεται αυτούσια μαζί με τις οικονομικές καταστάσεις της </w:t>
      </w:r>
      <w:r w:rsidR="001844F3">
        <w:rPr>
          <w:rFonts w:ascii="Tahoma" w:hAnsi="Tahoma" w:cs="Tahoma"/>
        </w:rPr>
        <w:t>Εταιρεία</w:t>
      </w:r>
      <w:r w:rsidRPr="003B51C5">
        <w:rPr>
          <w:rFonts w:ascii="Tahoma" w:hAnsi="Tahoma" w:cs="Tahoma"/>
        </w:rPr>
        <w:t xml:space="preserve">ς και τα λοιπά απαιτούμενα από τον νόμο στοιχεία, στην ετήσια οικονομική έκθεση που αφορά την </w:t>
      </w:r>
      <w:proofErr w:type="spellStart"/>
      <w:r w:rsidRPr="003B51C5">
        <w:rPr>
          <w:rFonts w:ascii="Tahoma" w:hAnsi="Tahoma" w:cs="Tahoma"/>
        </w:rPr>
        <w:t>κλειόμενη</w:t>
      </w:r>
      <w:proofErr w:type="spellEnd"/>
      <w:r w:rsidRPr="003B51C5">
        <w:rPr>
          <w:rFonts w:ascii="Tahoma" w:hAnsi="Tahoma" w:cs="Tahoma"/>
        </w:rPr>
        <w:t xml:space="preserve"> χρήση 201</w:t>
      </w:r>
      <w:r w:rsidR="00AC7882">
        <w:rPr>
          <w:rFonts w:ascii="Tahoma" w:hAnsi="Tahoma" w:cs="Tahoma"/>
        </w:rPr>
        <w:t>8</w:t>
      </w:r>
      <w:r w:rsidRPr="003B51C5">
        <w:rPr>
          <w:rFonts w:ascii="Tahoma" w:hAnsi="Tahoma" w:cs="Tahoma"/>
        </w:rPr>
        <w:t>.</w:t>
      </w:r>
    </w:p>
    <w:p w:rsidR="003B51C5" w:rsidRPr="003B51C5" w:rsidRDefault="003B51C5" w:rsidP="003B51C5">
      <w:pPr>
        <w:rPr>
          <w:rFonts w:ascii="Tahoma" w:hAnsi="Tahoma" w:cs="Tahoma"/>
        </w:rPr>
      </w:pPr>
    </w:p>
    <w:p w:rsidR="003B51C5" w:rsidRPr="00BA12B8" w:rsidRDefault="00BA12B8" w:rsidP="00BA12B8">
      <w:pPr>
        <w:pStyle w:val="7"/>
        <w:rPr>
          <w:rFonts w:ascii="Tahoma" w:hAnsi="Tahoma" w:cs="Tahoma"/>
          <w:b/>
          <w:i w:val="0"/>
          <w:sz w:val="24"/>
          <w:szCs w:val="24"/>
        </w:rPr>
      </w:pPr>
      <w:r w:rsidRPr="00BA12B8">
        <w:rPr>
          <w:rFonts w:ascii="Tahoma" w:hAnsi="Tahoma" w:cs="Tahoma"/>
          <w:b/>
          <w:i w:val="0"/>
          <w:sz w:val="24"/>
          <w:szCs w:val="24"/>
        </w:rPr>
        <w:t>1.</w:t>
      </w:r>
      <w:r w:rsidRPr="00BA12B8">
        <w:rPr>
          <w:rFonts w:ascii="Tahoma" w:hAnsi="Tahoma" w:cs="Tahoma"/>
          <w:b/>
          <w:i w:val="0"/>
          <w:sz w:val="24"/>
          <w:szCs w:val="24"/>
        </w:rPr>
        <w:tab/>
      </w:r>
      <w:r w:rsidR="003B51C5" w:rsidRPr="00BA12B8">
        <w:rPr>
          <w:rFonts w:ascii="Tahoma" w:hAnsi="Tahoma" w:cs="Tahoma"/>
          <w:b/>
          <w:i w:val="0"/>
          <w:sz w:val="24"/>
          <w:szCs w:val="24"/>
        </w:rPr>
        <w:t>Γενική παρουσίαση</w:t>
      </w:r>
    </w:p>
    <w:p w:rsidR="003B51C5" w:rsidRPr="00BA12B8" w:rsidRDefault="003B51C5" w:rsidP="00BA12B8">
      <w:pPr>
        <w:pStyle w:val="7"/>
        <w:rPr>
          <w:rFonts w:ascii="Tahoma" w:hAnsi="Tahoma" w:cs="Tahoma"/>
          <w:b/>
          <w:i w:val="0"/>
        </w:rPr>
      </w:pPr>
      <w:r w:rsidRPr="00BA12B8">
        <w:rPr>
          <w:rFonts w:ascii="Tahoma" w:hAnsi="Tahoma" w:cs="Tahoma"/>
          <w:b/>
          <w:i w:val="0"/>
        </w:rPr>
        <w:t>1.1 Περιγραφή δραστηριοτήτων</w:t>
      </w:r>
    </w:p>
    <w:p w:rsidR="003B51C5" w:rsidRPr="00FB299C" w:rsidRDefault="003B51C5" w:rsidP="003B51C5">
      <w:pPr>
        <w:rPr>
          <w:rFonts w:ascii="Tahoma" w:hAnsi="Tahoma" w:cs="Tahoma"/>
        </w:rPr>
      </w:pPr>
      <w:r w:rsidRPr="0087751F">
        <w:rPr>
          <w:rFonts w:ascii="Tahoma" w:hAnsi="Tahoma" w:cs="Tahoma"/>
        </w:rPr>
        <w:t xml:space="preserve">Η εταιρεία </w:t>
      </w:r>
      <w:r w:rsidR="00E22B88" w:rsidRPr="00B30719">
        <w:rPr>
          <w:rFonts w:ascii="Tahoma" w:hAnsi="Tahoma" w:cs="Tahoma"/>
          <w:b/>
          <w:bCs/>
        </w:rPr>
        <w:t>“</w:t>
      </w:r>
      <w:r w:rsidR="00CA79EB" w:rsidRPr="00CA79EB">
        <w:rPr>
          <w:rFonts w:ascii="Tahoma" w:hAnsi="Tahoma" w:cs="Tahoma"/>
          <w:b/>
          <w:bCs/>
        </w:rPr>
        <w:t xml:space="preserve"> </w:t>
      </w:r>
      <w:r w:rsidR="00CA79EB">
        <w:rPr>
          <w:rFonts w:ascii="Tahoma" w:hAnsi="Tahoma" w:cs="Tahoma"/>
          <w:b/>
          <w:bCs/>
        </w:rPr>
        <w:t>ΕΛΛΗΝΙΚΟ ΚΕΝΤΡΟ ΑΝΑΚΥΚΛΩΣΗΣ Α.Β.Ε.Ε</w:t>
      </w:r>
      <w:r w:rsidR="00F91ED0" w:rsidRPr="00F91ED0">
        <w:rPr>
          <w:rFonts w:ascii="Tahoma" w:hAnsi="Tahoma" w:cs="Tahoma"/>
          <w:b/>
          <w:bCs/>
        </w:rPr>
        <w:t xml:space="preserve"> </w:t>
      </w:r>
      <w:r w:rsidR="00CA79EB" w:rsidRPr="00B30719">
        <w:rPr>
          <w:rFonts w:ascii="Tahoma" w:hAnsi="Tahoma" w:cs="Tahoma"/>
          <w:b/>
          <w:bCs/>
        </w:rPr>
        <w:t xml:space="preserve"> </w:t>
      </w:r>
      <w:r w:rsidR="00E22B88" w:rsidRPr="00B30719">
        <w:rPr>
          <w:rFonts w:ascii="Tahoma" w:hAnsi="Tahoma" w:cs="Tahoma"/>
          <w:b/>
          <w:bCs/>
        </w:rPr>
        <w:t>”</w:t>
      </w:r>
      <w:r w:rsidR="00F91ED0">
        <w:rPr>
          <w:rFonts w:ascii="Tahoma" w:hAnsi="Tahoma" w:cs="Tahoma"/>
          <w:b/>
          <w:bCs/>
        </w:rPr>
        <w:t xml:space="preserve"> </w:t>
      </w:r>
      <w:r w:rsidR="00F91ED0" w:rsidRPr="00F91ED0">
        <w:rPr>
          <w:rFonts w:ascii="Tahoma" w:hAnsi="Tahoma" w:cs="Tahoma"/>
          <w:bCs/>
        </w:rPr>
        <w:t>με αριθμό</w:t>
      </w:r>
      <w:bookmarkStart w:id="0" w:name="_GoBack"/>
      <w:bookmarkEnd w:id="0"/>
      <w:r w:rsidR="00F91ED0">
        <w:rPr>
          <w:rFonts w:ascii="Tahoma" w:hAnsi="Tahoma" w:cs="Tahoma"/>
          <w:b/>
          <w:bCs/>
        </w:rPr>
        <w:t xml:space="preserve"> </w:t>
      </w:r>
      <w:r w:rsidR="00F91ED0">
        <w:rPr>
          <w:rFonts w:ascii="Verdana" w:hAnsi="Verdana"/>
          <w:smallCaps/>
          <w:spacing w:val="20"/>
        </w:rPr>
        <w:t>Γ.Ε.ΜΗ.</w:t>
      </w:r>
      <w:r w:rsidR="00F91ED0" w:rsidRPr="00DC04E2">
        <w:rPr>
          <w:rFonts w:ascii="Verdana" w:hAnsi="Verdana"/>
          <w:smallCaps/>
          <w:spacing w:val="20"/>
        </w:rPr>
        <w:t xml:space="preserve">: </w:t>
      </w:r>
      <w:r w:rsidR="00F91ED0">
        <w:rPr>
          <w:rFonts w:ascii="Verdana" w:hAnsi="Verdana"/>
          <w:smallCaps/>
          <w:spacing w:val="20"/>
        </w:rPr>
        <w:t>114994537000</w:t>
      </w:r>
      <w:r w:rsidRPr="0087751F">
        <w:rPr>
          <w:rFonts w:ascii="Tahoma" w:hAnsi="Tahoma" w:cs="Tahoma"/>
        </w:rPr>
        <w:t xml:space="preserve"> </w:t>
      </w:r>
      <w:r w:rsidR="007D7123" w:rsidRPr="007D7123">
        <w:rPr>
          <w:rFonts w:ascii="Tahoma" w:hAnsi="Tahoma" w:cs="Tahoma"/>
        </w:rPr>
        <w:t xml:space="preserve">ιδρύθηκε τον Ιούνιο του έτους 2002 με σκοπό την επεξεργασία των Αποβλήτων Ηλεκτρικού και Ηλεκτρονικού Εξοπλισμού (Α.Η.Η.Ε.) σύμφωνα με τις διατάξεις του Ν.2939/01 και του Π.Δ. 117/2004. Τον Οκτώβριο του 2004 υπεγράφη σύμβαση συνεργασίας με το </w:t>
      </w:r>
      <w:proofErr w:type="spellStart"/>
      <w:r w:rsidR="007D7123" w:rsidRPr="007D7123">
        <w:rPr>
          <w:rFonts w:ascii="Tahoma" w:hAnsi="Tahoma" w:cs="Tahoma"/>
        </w:rPr>
        <w:t>αδειοδοτημένο</w:t>
      </w:r>
      <w:proofErr w:type="spellEnd"/>
      <w:r w:rsidR="007D7123" w:rsidRPr="007D7123">
        <w:rPr>
          <w:rFonts w:ascii="Tahoma" w:hAnsi="Tahoma" w:cs="Tahoma"/>
        </w:rPr>
        <w:t xml:space="preserve"> από το Υ.Π.Ε.K.A., συλλογικό σύστημα Εναλλακτικής Διαχείρισης των ΑΗΗΕ και συγκεκριμένα με την Εταιρία «Ανακύκλωση Συσκευών Α.Ε.». Η έναρξη λειτουργίας της μονάδας για την πλήρη επεξεργασία και αξιοποίηση των Α.Η.Η.Ε. πραγματοποιήθηκε τον Αύγουστο του έτους 2005</w:t>
      </w:r>
      <w:r w:rsidR="00AC7882">
        <w:rPr>
          <w:rFonts w:ascii="Tahoma" w:hAnsi="Tahoma" w:cs="Tahoma"/>
        </w:rPr>
        <w:t>.</w:t>
      </w:r>
    </w:p>
    <w:p w:rsidR="00BB6BB6" w:rsidRDefault="00BB6BB6" w:rsidP="00BA12B8">
      <w:pPr>
        <w:pStyle w:val="7"/>
        <w:rPr>
          <w:rFonts w:ascii="Tahoma" w:hAnsi="Tahoma" w:cs="Tahoma"/>
          <w:b/>
          <w:i w:val="0"/>
        </w:rPr>
      </w:pPr>
      <w:r w:rsidRPr="00BA12B8">
        <w:rPr>
          <w:rFonts w:ascii="Tahoma" w:hAnsi="Tahoma" w:cs="Tahoma"/>
          <w:b/>
          <w:i w:val="0"/>
        </w:rPr>
        <w:lastRenderedPageBreak/>
        <w:t>1.2. Στόχοι</w:t>
      </w:r>
    </w:p>
    <w:p w:rsidR="007D7123" w:rsidRPr="008365E6" w:rsidRDefault="007D7123" w:rsidP="007D7123">
      <w:pPr>
        <w:rPr>
          <w:rFonts w:ascii="Tahoma" w:hAnsi="Tahoma" w:cs="Tahoma"/>
          <w:szCs w:val="18"/>
        </w:rPr>
      </w:pPr>
      <w:r w:rsidRPr="007D7123">
        <w:rPr>
          <w:rFonts w:ascii="Tahoma" w:hAnsi="Tahoma" w:cs="Tahoma"/>
          <w:szCs w:val="18"/>
        </w:rPr>
        <w:t xml:space="preserve">Στόχος της Εταιρίας είναι η επέκταση των δραστηριοτήτων της σε άλλες περιφέρειες της Ελλάδας και της Κύπρου, καθώς και </w:t>
      </w:r>
      <w:proofErr w:type="spellStart"/>
      <w:r w:rsidRPr="007D7123">
        <w:rPr>
          <w:rFonts w:ascii="Tahoma" w:hAnsi="Tahoma" w:cs="Tahoma"/>
          <w:szCs w:val="18"/>
        </w:rPr>
        <w:t>οδιαρκής</w:t>
      </w:r>
      <w:proofErr w:type="spellEnd"/>
      <w:r w:rsidRPr="007D7123">
        <w:rPr>
          <w:rFonts w:ascii="Tahoma" w:hAnsi="Tahoma" w:cs="Tahoma"/>
          <w:szCs w:val="18"/>
        </w:rPr>
        <w:t xml:space="preserve"> </w:t>
      </w:r>
      <w:proofErr w:type="spellStart"/>
      <w:r w:rsidRPr="007D7123">
        <w:rPr>
          <w:rFonts w:ascii="Tahoma" w:hAnsi="Tahoma" w:cs="Tahoma"/>
          <w:szCs w:val="18"/>
        </w:rPr>
        <w:t>εξυγχρονισμός</w:t>
      </w:r>
      <w:proofErr w:type="spellEnd"/>
      <w:r w:rsidRPr="007D7123">
        <w:rPr>
          <w:rFonts w:ascii="Tahoma" w:hAnsi="Tahoma" w:cs="Tahoma"/>
          <w:szCs w:val="18"/>
        </w:rPr>
        <w:t xml:space="preserve"> του εξοπλισμού και των υποδομών της, ενισχύοντας έτσι την τεχνογνωσία της, με απώτερο στόχο την αποτελεσματικότερη προστασία του περιβάλλοντος</w:t>
      </w:r>
    </w:p>
    <w:p w:rsidR="008365E6" w:rsidRPr="008365E6" w:rsidRDefault="008365E6" w:rsidP="007D7123">
      <w:pPr>
        <w:rPr>
          <w:rFonts w:ascii="Tahoma" w:hAnsi="Tahoma" w:cs="Tahoma"/>
          <w:szCs w:val="18"/>
        </w:rPr>
      </w:pPr>
    </w:p>
    <w:p w:rsidR="008276B0" w:rsidRDefault="008276B0" w:rsidP="008276B0">
      <w:pPr>
        <w:rPr>
          <w:rFonts w:ascii="Tahoma" w:hAnsi="Tahoma" w:cs="Tahoma"/>
          <w:szCs w:val="18"/>
        </w:rPr>
      </w:pPr>
      <w:r w:rsidRPr="00A51B0F">
        <w:rPr>
          <w:rFonts w:ascii="Tahoma" w:hAnsi="Tahoma" w:cs="Tahoma"/>
          <w:szCs w:val="18"/>
        </w:rPr>
        <w:t xml:space="preserve">Αποστολή </w:t>
      </w:r>
      <w:r>
        <w:rPr>
          <w:rFonts w:ascii="Tahoma" w:hAnsi="Tahoma" w:cs="Tahoma"/>
          <w:szCs w:val="18"/>
        </w:rPr>
        <w:t>της Εταιρείας</w:t>
      </w:r>
      <w:r w:rsidRPr="00A51B0F">
        <w:rPr>
          <w:rFonts w:ascii="Tahoma" w:hAnsi="Tahoma" w:cs="Tahoma"/>
          <w:szCs w:val="18"/>
        </w:rPr>
        <w:t xml:space="preserve"> είναι να προσφέρει</w:t>
      </w:r>
      <w:r>
        <w:rPr>
          <w:rFonts w:ascii="Tahoma" w:hAnsi="Tahoma" w:cs="Tahoma"/>
          <w:szCs w:val="18"/>
        </w:rPr>
        <w:t xml:space="preserve"> υψηλού επιπέδου προϊόντα</w:t>
      </w:r>
      <w:r w:rsidRPr="00A51B0F">
        <w:rPr>
          <w:rFonts w:ascii="Tahoma" w:hAnsi="Tahoma" w:cs="Tahoma"/>
          <w:szCs w:val="18"/>
        </w:rPr>
        <w:t xml:space="preserve"> </w:t>
      </w:r>
      <w:r>
        <w:rPr>
          <w:rFonts w:ascii="Tahoma" w:hAnsi="Tahoma" w:cs="Tahoma"/>
          <w:szCs w:val="18"/>
        </w:rPr>
        <w:t>.</w:t>
      </w:r>
      <w:r w:rsidRPr="00A51B0F">
        <w:rPr>
          <w:rFonts w:ascii="Tahoma" w:hAnsi="Tahoma" w:cs="Tahoma"/>
          <w:szCs w:val="18"/>
        </w:rPr>
        <w:t xml:space="preserve">Οι δραστηριότητες </w:t>
      </w:r>
      <w:r>
        <w:rPr>
          <w:rFonts w:ascii="Tahoma" w:hAnsi="Tahoma" w:cs="Tahoma"/>
          <w:szCs w:val="18"/>
        </w:rPr>
        <w:t>της Εταιρείας</w:t>
      </w:r>
      <w:r w:rsidRPr="00A51B0F">
        <w:rPr>
          <w:rFonts w:ascii="Tahoma" w:hAnsi="Tahoma" w:cs="Tahoma"/>
          <w:szCs w:val="18"/>
        </w:rPr>
        <w:t xml:space="preserve"> δημιο</w:t>
      </w:r>
      <w:r w:rsidR="00120BB5">
        <w:rPr>
          <w:rFonts w:ascii="Tahoma" w:hAnsi="Tahoma" w:cs="Tahoma"/>
          <w:szCs w:val="18"/>
        </w:rPr>
        <w:t>υργούν προστιθέμενη αξία για τους πελάτες</w:t>
      </w:r>
      <w:r w:rsidRPr="00A51B0F">
        <w:rPr>
          <w:rFonts w:ascii="Tahoma" w:hAnsi="Tahoma" w:cs="Tahoma"/>
          <w:szCs w:val="18"/>
        </w:rPr>
        <w:t xml:space="preserve"> και τους εργαζομένους, αφήνουν θετικό περιβαλλοντικό αποτύπωμα και λειτουργούν προς όφελος των συνεργατών και των τοπικών κοινωνιών.</w:t>
      </w:r>
    </w:p>
    <w:p w:rsidR="008276B0" w:rsidRPr="00A51B0F" w:rsidRDefault="008276B0" w:rsidP="008276B0">
      <w:pPr>
        <w:rPr>
          <w:rFonts w:ascii="Tahoma" w:hAnsi="Tahoma" w:cs="Tahoma"/>
          <w:szCs w:val="18"/>
        </w:rPr>
      </w:pPr>
    </w:p>
    <w:p w:rsidR="008276B0" w:rsidRPr="00A51B0F" w:rsidRDefault="008276B0" w:rsidP="008276B0">
      <w:pPr>
        <w:rPr>
          <w:rFonts w:ascii="Tahoma" w:hAnsi="Tahoma" w:cs="Tahoma"/>
          <w:szCs w:val="18"/>
        </w:rPr>
      </w:pPr>
      <w:r w:rsidRPr="00A51B0F">
        <w:rPr>
          <w:rFonts w:ascii="Tahoma" w:hAnsi="Tahoma" w:cs="Tahoma"/>
          <w:szCs w:val="18"/>
        </w:rPr>
        <w:t>Αξίες όπως η χρηστή διοίκηση, η πρόνοια έναντι των ενδεχόμενων κινδύνων ή προβλημάτων, η μείωση του κόστους χωρίς να επηρεάζεται το επίπεδο υψηλής ποιότητας και η συνέπεια έναντι των πελατών και λοιπών συνεργατών, είναι τα ζητούμενα διαχρονικά για την εταιρεία και την διοίκηση της.</w:t>
      </w:r>
    </w:p>
    <w:p w:rsidR="008276B0" w:rsidRPr="00A51B0F" w:rsidRDefault="008276B0" w:rsidP="008276B0">
      <w:pPr>
        <w:rPr>
          <w:rFonts w:ascii="Tahoma" w:hAnsi="Tahoma" w:cs="Tahoma"/>
          <w:szCs w:val="18"/>
        </w:rPr>
      </w:pPr>
    </w:p>
    <w:p w:rsidR="001E09AE" w:rsidRDefault="008276B0" w:rsidP="008276B0">
      <w:pPr>
        <w:rPr>
          <w:rFonts w:ascii="Tahoma" w:hAnsi="Tahoma" w:cs="Tahoma"/>
          <w:szCs w:val="18"/>
        </w:rPr>
      </w:pPr>
      <w:r w:rsidRPr="00A51B0F">
        <w:rPr>
          <w:rFonts w:ascii="Tahoma" w:hAnsi="Tahoma" w:cs="Tahoma"/>
          <w:szCs w:val="18"/>
        </w:rPr>
        <w:t>Πρ</w:t>
      </w:r>
      <w:r>
        <w:rPr>
          <w:rFonts w:ascii="Tahoma" w:hAnsi="Tahoma" w:cs="Tahoma"/>
          <w:szCs w:val="18"/>
        </w:rPr>
        <w:t>οκειμένου να επιτευχθεί η παραγωγή</w:t>
      </w:r>
      <w:r w:rsidRPr="00A51B0F">
        <w:rPr>
          <w:rFonts w:ascii="Tahoma" w:hAnsi="Tahoma" w:cs="Tahoma"/>
          <w:szCs w:val="18"/>
        </w:rPr>
        <w:t xml:space="preserve"> υψηλού επιπέδου </w:t>
      </w:r>
      <w:r>
        <w:rPr>
          <w:rFonts w:ascii="Tahoma" w:hAnsi="Tahoma" w:cs="Tahoma"/>
          <w:szCs w:val="18"/>
        </w:rPr>
        <w:t xml:space="preserve">προϊόντων </w:t>
      </w:r>
      <w:r w:rsidRPr="00A51B0F">
        <w:rPr>
          <w:rFonts w:ascii="Tahoma" w:hAnsi="Tahoma" w:cs="Tahoma"/>
          <w:szCs w:val="18"/>
        </w:rPr>
        <w:t xml:space="preserve">η εταιρεία συνεργάζεται με </w:t>
      </w:r>
      <w:r>
        <w:rPr>
          <w:rFonts w:ascii="Tahoma" w:hAnsi="Tahoma" w:cs="Tahoma"/>
          <w:szCs w:val="18"/>
        </w:rPr>
        <w:t>προμηθευτές</w:t>
      </w:r>
      <w:r w:rsidRPr="00A51B0F">
        <w:rPr>
          <w:rFonts w:ascii="Tahoma" w:hAnsi="Tahoma" w:cs="Tahoma"/>
          <w:szCs w:val="18"/>
        </w:rPr>
        <w:t xml:space="preserve"> οι οποίοι μοιράζονται τις ίδιες αρχές και παρέχουν υ</w:t>
      </w:r>
      <w:r>
        <w:rPr>
          <w:rFonts w:ascii="Tahoma" w:hAnsi="Tahoma" w:cs="Tahoma"/>
          <w:szCs w:val="18"/>
        </w:rPr>
        <w:t>ψηλά πρότυπα ποιότητας προϊόντων</w:t>
      </w:r>
      <w:r w:rsidRPr="00A51B0F">
        <w:rPr>
          <w:rFonts w:ascii="Tahoma" w:hAnsi="Tahoma" w:cs="Tahoma"/>
          <w:szCs w:val="18"/>
        </w:rPr>
        <w:t xml:space="preserve">. Το δίκτυο αυτό προσφέρει την επιλογή της καλύτερης δυνατής </w:t>
      </w:r>
      <w:r w:rsidR="001E09AE">
        <w:rPr>
          <w:rFonts w:ascii="Tahoma" w:hAnsi="Tahoma" w:cs="Tahoma"/>
          <w:szCs w:val="18"/>
        </w:rPr>
        <w:t>παραγωγής</w:t>
      </w:r>
      <w:r w:rsidRPr="00A51B0F">
        <w:rPr>
          <w:rFonts w:ascii="Tahoma" w:hAnsi="Tahoma" w:cs="Tahoma"/>
          <w:szCs w:val="18"/>
        </w:rPr>
        <w:t xml:space="preserve"> συνεισφέροντας σε ένα τελικό αποτέλεσμα</w:t>
      </w:r>
      <w:r w:rsidR="001E09AE">
        <w:rPr>
          <w:rFonts w:ascii="Tahoma" w:hAnsi="Tahoma" w:cs="Tahoma"/>
          <w:szCs w:val="18"/>
        </w:rPr>
        <w:t xml:space="preserve"> που ικανοποιεί τις ανάγκες των πελατών.</w:t>
      </w:r>
      <w:r w:rsidRPr="00A51B0F">
        <w:rPr>
          <w:rFonts w:ascii="Tahoma" w:hAnsi="Tahoma" w:cs="Tahoma"/>
          <w:szCs w:val="18"/>
        </w:rPr>
        <w:t xml:space="preserve"> </w:t>
      </w:r>
    </w:p>
    <w:p w:rsidR="001E09AE" w:rsidRDefault="001E09AE" w:rsidP="008276B0">
      <w:pPr>
        <w:rPr>
          <w:rFonts w:ascii="Tahoma" w:hAnsi="Tahoma" w:cs="Tahoma"/>
          <w:szCs w:val="18"/>
        </w:rPr>
      </w:pPr>
    </w:p>
    <w:p w:rsidR="008276B0" w:rsidRPr="00BB6BB6" w:rsidRDefault="008276B0" w:rsidP="008276B0">
      <w:pPr>
        <w:rPr>
          <w:rFonts w:ascii="Tahoma" w:hAnsi="Tahoma" w:cs="Tahoma"/>
          <w:szCs w:val="18"/>
        </w:rPr>
      </w:pPr>
      <w:r w:rsidRPr="00A51B0F">
        <w:rPr>
          <w:rFonts w:ascii="Tahoma" w:hAnsi="Tahoma" w:cs="Tahoma"/>
          <w:szCs w:val="18"/>
        </w:rPr>
        <w:t>Ενόψει λοιπόν των αυξημένων προκλήσεων, που καλούμαστε να αντιμετωπίσουμε, η επένδυση για την αναβάθμιση των παρεχόμενων</w:t>
      </w:r>
      <w:r>
        <w:rPr>
          <w:rFonts w:ascii="Tahoma" w:hAnsi="Tahoma" w:cs="Tahoma"/>
          <w:szCs w:val="18"/>
        </w:rPr>
        <w:t xml:space="preserve"> προϊόντων</w:t>
      </w:r>
      <w:r w:rsidRPr="00A51B0F">
        <w:rPr>
          <w:rFonts w:ascii="Tahoma" w:hAnsi="Tahoma" w:cs="Tahoma"/>
          <w:szCs w:val="18"/>
        </w:rPr>
        <w:t xml:space="preserve"> προς τους πελάτες  θα αποτελέσει την κύρια στρατηγική μας για τα επόμενα έτη.</w:t>
      </w:r>
      <w:r w:rsidRPr="00BB6BB6">
        <w:rPr>
          <w:rFonts w:ascii="Tahoma" w:hAnsi="Tahoma" w:cs="Tahoma"/>
          <w:szCs w:val="18"/>
        </w:rPr>
        <w:t xml:space="preserve"> </w:t>
      </w:r>
    </w:p>
    <w:p w:rsidR="003B51C5" w:rsidRPr="00F154D8" w:rsidRDefault="003B51C5" w:rsidP="00F136DB">
      <w:pPr>
        <w:spacing w:line="276" w:lineRule="auto"/>
        <w:rPr>
          <w:rFonts w:ascii="Tahoma" w:hAnsi="Tahoma" w:cs="Tahoma"/>
        </w:rPr>
      </w:pPr>
    </w:p>
    <w:p w:rsidR="00400B9E" w:rsidRPr="00BA12B8" w:rsidRDefault="00400B9E" w:rsidP="00BA12B8">
      <w:pPr>
        <w:pStyle w:val="7"/>
        <w:rPr>
          <w:rFonts w:ascii="Tahoma" w:hAnsi="Tahoma" w:cs="Tahoma"/>
          <w:b/>
          <w:i w:val="0"/>
        </w:rPr>
      </w:pPr>
      <w:r w:rsidRPr="00BA12B8">
        <w:rPr>
          <w:rFonts w:ascii="Tahoma" w:hAnsi="Tahoma" w:cs="Tahoma"/>
          <w:b/>
          <w:i w:val="0"/>
        </w:rPr>
        <w:t>1.3 Διοίκηση</w:t>
      </w:r>
    </w:p>
    <w:p w:rsidR="00400B9E" w:rsidRPr="00400B9E" w:rsidRDefault="00400B9E" w:rsidP="00400B9E">
      <w:pPr>
        <w:rPr>
          <w:rFonts w:ascii="Tahoma" w:hAnsi="Tahoma" w:cs="Tahoma"/>
          <w:szCs w:val="18"/>
        </w:rPr>
      </w:pPr>
      <w:r w:rsidRPr="00400B9E">
        <w:rPr>
          <w:rFonts w:ascii="Tahoma" w:hAnsi="Tahoma" w:cs="Tahoma"/>
          <w:szCs w:val="18"/>
        </w:rPr>
        <w:t>Η επίβλεψη των εργασιών  και η διοίκηση της εταιρείας ασκείται από πενταμελές  Διοικητικό συμβούλιο το οποίο εκλέγει η Γενική Συνέλευση και το οποίο απαρτίζεται από τους κατωτέρω:</w:t>
      </w:r>
    </w:p>
    <w:p w:rsidR="00400B9E" w:rsidRPr="00400B9E" w:rsidRDefault="00400B9E" w:rsidP="00400B9E">
      <w:pPr>
        <w:rPr>
          <w:rFonts w:ascii="Tahoma" w:hAnsi="Tahoma" w:cs="Tahoma"/>
          <w:szCs w:val="18"/>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3969"/>
      </w:tblGrid>
      <w:tr w:rsidR="00400B9E" w:rsidRPr="00EB0E1D" w:rsidTr="00E22B88">
        <w:trPr>
          <w:trHeight w:val="300"/>
        </w:trPr>
        <w:tc>
          <w:tcPr>
            <w:tcW w:w="5118" w:type="dxa"/>
            <w:shd w:val="clear" w:color="auto" w:fill="auto"/>
            <w:noWrap/>
            <w:vAlign w:val="bottom"/>
            <w:hideMark/>
          </w:tcPr>
          <w:p w:rsidR="00400B9E" w:rsidRPr="00AC7882" w:rsidRDefault="00400B9E" w:rsidP="00B54E03">
            <w:pPr>
              <w:jc w:val="left"/>
              <w:rPr>
                <w:rFonts w:ascii="Tahoma" w:hAnsi="Tahoma" w:cs="Tahoma"/>
                <w:color w:val="000000"/>
              </w:rPr>
            </w:pPr>
            <w:r w:rsidRPr="00AC7882">
              <w:rPr>
                <w:rFonts w:ascii="Tahoma" w:hAnsi="Tahoma" w:cs="Tahoma"/>
                <w:color w:val="000000"/>
              </w:rPr>
              <w:t>Όνομα και επώνυμο</w:t>
            </w:r>
          </w:p>
        </w:tc>
        <w:tc>
          <w:tcPr>
            <w:tcW w:w="3969" w:type="dxa"/>
            <w:shd w:val="clear" w:color="auto" w:fill="auto"/>
            <w:noWrap/>
            <w:vAlign w:val="bottom"/>
            <w:hideMark/>
          </w:tcPr>
          <w:p w:rsidR="00400B9E" w:rsidRPr="00AC7882" w:rsidRDefault="00400B9E" w:rsidP="00B54E03">
            <w:pPr>
              <w:jc w:val="left"/>
              <w:rPr>
                <w:rFonts w:ascii="Tahoma" w:hAnsi="Tahoma" w:cs="Tahoma"/>
                <w:color w:val="000000"/>
              </w:rPr>
            </w:pPr>
            <w:r w:rsidRPr="00AC7882">
              <w:rPr>
                <w:rFonts w:ascii="Tahoma" w:hAnsi="Tahoma" w:cs="Tahoma"/>
                <w:color w:val="000000"/>
              </w:rPr>
              <w:t>Θέση</w:t>
            </w:r>
          </w:p>
        </w:tc>
      </w:tr>
      <w:tr w:rsidR="00400B9E" w:rsidRPr="00EB0E1D" w:rsidTr="00E22B88">
        <w:trPr>
          <w:trHeight w:val="300"/>
        </w:trPr>
        <w:tc>
          <w:tcPr>
            <w:tcW w:w="5118" w:type="dxa"/>
            <w:shd w:val="clear" w:color="auto" w:fill="auto"/>
            <w:noWrap/>
            <w:vAlign w:val="bottom"/>
            <w:hideMark/>
          </w:tcPr>
          <w:p w:rsidR="00400B9E" w:rsidRPr="00AC7882" w:rsidRDefault="00436F6B" w:rsidP="00B54E03">
            <w:pPr>
              <w:jc w:val="left"/>
              <w:rPr>
                <w:rFonts w:ascii="Tahoma" w:hAnsi="Tahoma" w:cs="Tahoma"/>
                <w:color w:val="000000"/>
              </w:rPr>
            </w:pPr>
            <w:r w:rsidRPr="00AC7882">
              <w:rPr>
                <w:rFonts w:ascii="Tahoma" w:hAnsi="Tahoma" w:cs="Tahoma"/>
                <w:color w:val="000000"/>
              </w:rPr>
              <w:t xml:space="preserve">Γεώργιος </w:t>
            </w:r>
            <w:proofErr w:type="spellStart"/>
            <w:r w:rsidRPr="00AC7882">
              <w:rPr>
                <w:rFonts w:ascii="Tahoma" w:hAnsi="Tahoma" w:cs="Tahoma"/>
                <w:color w:val="000000"/>
              </w:rPr>
              <w:t>Βακόντιος</w:t>
            </w:r>
            <w:proofErr w:type="spellEnd"/>
            <w:r w:rsidRPr="00AC7882">
              <w:rPr>
                <w:rFonts w:ascii="Tahoma" w:hAnsi="Tahoma" w:cs="Tahoma"/>
                <w:color w:val="000000"/>
              </w:rPr>
              <w:t xml:space="preserve"> </w:t>
            </w:r>
          </w:p>
        </w:tc>
        <w:tc>
          <w:tcPr>
            <w:tcW w:w="3969" w:type="dxa"/>
            <w:shd w:val="clear" w:color="auto" w:fill="auto"/>
            <w:noWrap/>
            <w:vAlign w:val="bottom"/>
            <w:hideMark/>
          </w:tcPr>
          <w:p w:rsidR="00400B9E" w:rsidRPr="00AC7882" w:rsidRDefault="00400B9E" w:rsidP="00B54E03">
            <w:pPr>
              <w:jc w:val="left"/>
              <w:rPr>
                <w:rFonts w:ascii="Tahoma" w:hAnsi="Tahoma" w:cs="Tahoma"/>
                <w:color w:val="000000"/>
              </w:rPr>
            </w:pPr>
            <w:r w:rsidRPr="00AC7882">
              <w:rPr>
                <w:rFonts w:ascii="Tahoma" w:hAnsi="Tahoma" w:cs="Tahoma"/>
                <w:color w:val="000000"/>
              </w:rPr>
              <w:t>Πρόεδρος ΔΣ</w:t>
            </w:r>
            <w:r w:rsidR="00E22B88" w:rsidRPr="00AC7882">
              <w:rPr>
                <w:rFonts w:ascii="Tahoma" w:hAnsi="Tahoma" w:cs="Tahoma"/>
                <w:color w:val="000000"/>
              </w:rPr>
              <w:t xml:space="preserve"> &amp; Διευθύνων Σύμβουλος </w:t>
            </w:r>
          </w:p>
        </w:tc>
      </w:tr>
      <w:tr w:rsidR="00400B9E" w:rsidRPr="00EB0E1D" w:rsidTr="00E22B88">
        <w:trPr>
          <w:trHeight w:val="300"/>
        </w:trPr>
        <w:tc>
          <w:tcPr>
            <w:tcW w:w="5118" w:type="dxa"/>
            <w:shd w:val="clear" w:color="auto" w:fill="auto"/>
            <w:noWrap/>
            <w:vAlign w:val="bottom"/>
            <w:hideMark/>
          </w:tcPr>
          <w:p w:rsidR="00400B9E" w:rsidRPr="00AC7882" w:rsidRDefault="00436F6B" w:rsidP="00B54E03">
            <w:pPr>
              <w:jc w:val="left"/>
              <w:rPr>
                <w:rFonts w:ascii="Tahoma" w:hAnsi="Tahoma" w:cs="Tahoma"/>
                <w:color w:val="000000"/>
              </w:rPr>
            </w:pPr>
            <w:r w:rsidRPr="00AC7882">
              <w:rPr>
                <w:rFonts w:ascii="Tahoma" w:hAnsi="Tahoma" w:cs="Tahoma"/>
                <w:color w:val="000000"/>
              </w:rPr>
              <w:t xml:space="preserve">Αναστασία </w:t>
            </w:r>
            <w:proofErr w:type="spellStart"/>
            <w:r w:rsidRPr="00AC7882">
              <w:rPr>
                <w:rFonts w:ascii="Tahoma" w:hAnsi="Tahoma" w:cs="Tahoma"/>
                <w:color w:val="000000"/>
              </w:rPr>
              <w:t>Καντανάκη</w:t>
            </w:r>
            <w:proofErr w:type="spellEnd"/>
            <w:r w:rsidRPr="00AC7882">
              <w:rPr>
                <w:rFonts w:ascii="Tahoma" w:hAnsi="Tahoma" w:cs="Tahoma"/>
                <w:color w:val="000000"/>
              </w:rPr>
              <w:t xml:space="preserve"> </w:t>
            </w:r>
          </w:p>
        </w:tc>
        <w:tc>
          <w:tcPr>
            <w:tcW w:w="3969" w:type="dxa"/>
            <w:shd w:val="clear" w:color="auto" w:fill="auto"/>
            <w:noWrap/>
            <w:vAlign w:val="bottom"/>
            <w:hideMark/>
          </w:tcPr>
          <w:p w:rsidR="00400B9E" w:rsidRPr="00AC7882" w:rsidRDefault="00E22B88" w:rsidP="00B54E03">
            <w:pPr>
              <w:jc w:val="left"/>
              <w:rPr>
                <w:rFonts w:ascii="Tahoma" w:hAnsi="Tahoma" w:cs="Tahoma"/>
                <w:color w:val="000000"/>
              </w:rPr>
            </w:pPr>
            <w:r w:rsidRPr="00AC7882">
              <w:rPr>
                <w:rFonts w:ascii="Tahoma" w:hAnsi="Tahoma" w:cs="Tahoma"/>
                <w:color w:val="000000"/>
              </w:rPr>
              <w:t>Αντιπρόεδρος ΔΣ</w:t>
            </w:r>
          </w:p>
        </w:tc>
      </w:tr>
      <w:tr w:rsidR="00400B9E" w:rsidRPr="00EB0E1D" w:rsidTr="00E22B88">
        <w:trPr>
          <w:trHeight w:val="300"/>
        </w:trPr>
        <w:tc>
          <w:tcPr>
            <w:tcW w:w="5118" w:type="dxa"/>
            <w:shd w:val="clear" w:color="auto" w:fill="auto"/>
            <w:noWrap/>
            <w:vAlign w:val="bottom"/>
            <w:hideMark/>
          </w:tcPr>
          <w:p w:rsidR="00400B9E" w:rsidRPr="00AC7882" w:rsidRDefault="001350AE" w:rsidP="00B54E03">
            <w:pPr>
              <w:jc w:val="left"/>
              <w:rPr>
                <w:rFonts w:ascii="Tahoma" w:hAnsi="Tahoma" w:cs="Tahoma"/>
                <w:color w:val="000000"/>
              </w:rPr>
            </w:pPr>
            <w:r w:rsidRPr="00AC7882">
              <w:rPr>
                <w:rFonts w:ascii="Tahoma" w:hAnsi="Tahoma" w:cs="Tahoma"/>
                <w:color w:val="000000"/>
              </w:rPr>
              <w:t xml:space="preserve">Γεώργιος </w:t>
            </w:r>
            <w:proofErr w:type="spellStart"/>
            <w:r w:rsidRPr="00AC7882">
              <w:rPr>
                <w:rFonts w:ascii="Tahoma" w:hAnsi="Tahoma" w:cs="Tahoma"/>
                <w:color w:val="000000"/>
              </w:rPr>
              <w:t>Ζαβερδινός</w:t>
            </w:r>
            <w:proofErr w:type="spellEnd"/>
            <w:r w:rsidRPr="00AC7882">
              <w:rPr>
                <w:rFonts w:ascii="Tahoma" w:hAnsi="Tahoma" w:cs="Tahoma"/>
                <w:color w:val="000000"/>
              </w:rPr>
              <w:t xml:space="preserve"> </w:t>
            </w:r>
          </w:p>
        </w:tc>
        <w:tc>
          <w:tcPr>
            <w:tcW w:w="3969" w:type="dxa"/>
            <w:shd w:val="clear" w:color="auto" w:fill="auto"/>
            <w:noWrap/>
            <w:vAlign w:val="bottom"/>
            <w:hideMark/>
          </w:tcPr>
          <w:p w:rsidR="00400B9E" w:rsidRPr="00AC7882" w:rsidRDefault="00E22B88" w:rsidP="00B54E03">
            <w:pPr>
              <w:jc w:val="left"/>
              <w:rPr>
                <w:rFonts w:ascii="Tahoma" w:hAnsi="Tahoma" w:cs="Tahoma"/>
                <w:color w:val="000000"/>
              </w:rPr>
            </w:pPr>
            <w:r w:rsidRPr="00AC7882">
              <w:rPr>
                <w:rFonts w:ascii="Tahoma" w:hAnsi="Tahoma" w:cs="Tahoma"/>
                <w:color w:val="000000"/>
              </w:rPr>
              <w:t xml:space="preserve">Μέλος ΔΣ </w:t>
            </w:r>
          </w:p>
        </w:tc>
      </w:tr>
      <w:tr w:rsidR="001350AE" w:rsidRPr="00400B9E" w:rsidTr="00E22B88">
        <w:trPr>
          <w:trHeight w:val="300"/>
        </w:trPr>
        <w:tc>
          <w:tcPr>
            <w:tcW w:w="5118" w:type="dxa"/>
            <w:shd w:val="clear" w:color="auto" w:fill="auto"/>
            <w:noWrap/>
            <w:vAlign w:val="bottom"/>
          </w:tcPr>
          <w:p w:rsidR="001350AE" w:rsidRPr="00AC7882" w:rsidRDefault="001350AE" w:rsidP="00B54E03">
            <w:pPr>
              <w:jc w:val="left"/>
              <w:rPr>
                <w:rFonts w:ascii="Tahoma" w:hAnsi="Tahoma" w:cs="Tahoma"/>
                <w:color w:val="000000"/>
              </w:rPr>
            </w:pPr>
            <w:r w:rsidRPr="00AC7882">
              <w:rPr>
                <w:rFonts w:ascii="Tahoma" w:hAnsi="Tahoma" w:cs="Tahoma"/>
                <w:color w:val="000000"/>
              </w:rPr>
              <w:t xml:space="preserve">Ηλίας Μαργαρίτης </w:t>
            </w:r>
          </w:p>
        </w:tc>
        <w:tc>
          <w:tcPr>
            <w:tcW w:w="3969" w:type="dxa"/>
            <w:shd w:val="clear" w:color="auto" w:fill="auto"/>
            <w:noWrap/>
            <w:vAlign w:val="bottom"/>
          </w:tcPr>
          <w:p w:rsidR="001350AE" w:rsidRPr="001350AE" w:rsidRDefault="001350AE" w:rsidP="00B54E03">
            <w:pPr>
              <w:jc w:val="left"/>
              <w:rPr>
                <w:rFonts w:ascii="Tahoma" w:hAnsi="Tahoma" w:cs="Tahoma"/>
                <w:color w:val="000000"/>
              </w:rPr>
            </w:pPr>
            <w:r w:rsidRPr="00AC7882">
              <w:rPr>
                <w:rFonts w:ascii="Tahoma" w:hAnsi="Tahoma" w:cs="Tahoma"/>
                <w:color w:val="000000"/>
              </w:rPr>
              <w:t>Μέ</w:t>
            </w:r>
            <w:r w:rsidR="00AC7882">
              <w:rPr>
                <w:rFonts w:ascii="Tahoma" w:hAnsi="Tahoma" w:cs="Tahoma"/>
                <w:color w:val="000000"/>
              </w:rPr>
              <w:t>λο</w:t>
            </w:r>
            <w:r w:rsidRPr="00AC7882">
              <w:rPr>
                <w:rFonts w:ascii="Tahoma" w:hAnsi="Tahoma" w:cs="Tahoma"/>
                <w:color w:val="000000"/>
              </w:rPr>
              <w:t>ς ΔΣ</w:t>
            </w:r>
            <w:r w:rsidRPr="001350AE">
              <w:rPr>
                <w:rFonts w:ascii="Tahoma" w:hAnsi="Tahoma" w:cs="Tahoma"/>
                <w:color w:val="000000"/>
              </w:rPr>
              <w:t xml:space="preserve"> </w:t>
            </w:r>
          </w:p>
        </w:tc>
      </w:tr>
    </w:tbl>
    <w:p w:rsidR="00400B9E" w:rsidRDefault="00400B9E" w:rsidP="00F136DB">
      <w:pPr>
        <w:spacing w:line="276" w:lineRule="auto"/>
        <w:rPr>
          <w:rFonts w:ascii="Tahoma" w:hAnsi="Tahoma" w:cs="Tahoma"/>
        </w:rPr>
      </w:pPr>
    </w:p>
    <w:p w:rsidR="00206011" w:rsidRPr="00BA12B8" w:rsidRDefault="00BA12B8" w:rsidP="00BA12B8">
      <w:pPr>
        <w:pStyle w:val="7"/>
        <w:rPr>
          <w:rFonts w:ascii="Tahoma" w:hAnsi="Tahoma" w:cs="Tahoma"/>
          <w:b/>
          <w:i w:val="0"/>
          <w:sz w:val="24"/>
          <w:szCs w:val="24"/>
        </w:rPr>
      </w:pPr>
      <w:r w:rsidRPr="00BA12B8">
        <w:rPr>
          <w:rFonts w:ascii="Tahoma" w:hAnsi="Tahoma" w:cs="Tahoma"/>
          <w:b/>
          <w:i w:val="0"/>
          <w:sz w:val="24"/>
          <w:szCs w:val="24"/>
        </w:rPr>
        <w:t xml:space="preserve">2. </w:t>
      </w:r>
      <w:r w:rsidRPr="00BA12B8">
        <w:rPr>
          <w:rFonts w:ascii="Tahoma" w:hAnsi="Tahoma" w:cs="Tahoma"/>
          <w:b/>
          <w:i w:val="0"/>
          <w:sz w:val="24"/>
          <w:szCs w:val="24"/>
        </w:rPr>
        <w:tab/>
        <w:t xml:space="preserve">Οικονομική πορεία </w:t>
      </w:r>
    </w:p>
    <w:p w:rsidR="0053286D" w:rsidRPr="00F154D8" w:rsidRDefault="0053286D" w:rsidP="00F136DB">
      <w:pPr>
        <w:spacing w:line="276" w:lineRule="auto"/>
        <w:rPr>
          <w:rFonts w:ascii="Tahoma" w:hAnsi="Tahoma" w:cs="Tahoma"/>
          <w:b/>
          <w:bCs/>
          <w:u w:val="double"/>
        </w:rPr>
      </w:pPr>
    </w:p>
    <w:p w:rsidR="00623180" w:rsidRPr="00BA12B8" w:rsidRDefault="0066089B" w:rsidP="00BA12B8">
      <w:pPr>
        <w:spacing w:line="276" w:lineRule="auto"/>
        <w:rPr>
          <w:rFonts w:ascii="Tahoma" w:hAnsi="Tahoma" w:cs="Tahoma"/>
          <w:b/>
          <w:bCs/>
        </w:rPr>
      </w:pPr>
      <w:r>
        <w:rPr>
          <w:rFonts w:ascii="Tahoma" w:hAnsi="Tahoma" w:cs="Tahoma"/>
        </w:rPr>
        <w:t>Δεδομένης της οικονομικής συγκυρίας και των συνθηκών που έχουν διαμορφωθεί στο ευρύτερο οικονομικό περιβάλλον, η</w:t>
      </w:r>
      <w:r w:rsidR="00206011" w:rsidRPr="00F154D8">
        <w:rPr>
          <w:rFonts w:ascii="Tahoma" w:hAnsi="Tahoma" w:cs="Tahoma"/>
        </w:rPr>
        <w:t xml:space="preserve"> </w:t>
      </w:r>
      <w:r w:rsidR="00281D0D">
        <w:rPr>
          <w:rFonts w:ascii="Tahoma" w:hAnsi="Tahoma" w:cs="Tahoma"/>
        </w:rPr>
        <w:t xml:space="preserve">οικονομική </w:t>
      </w:r>
      <w:r w:rsidR="00206011" w:rsidRPr="00F154D8">
        <w:rPr>
          <w:rFonts w:ascii="Tahoma" w:hAnsi="Tahoma" w:cs="Tahoma"/>
        </w:rPr>
        <w:t xml:space="preserve">πορεία </w:t>
      </w:r>
      <w:r w:rsidR="00113160">
        <w:rPr>
          <w:rFonts w:ascii="Tahoma" w:hAnsi="Tahoma" w:cs="Tahoma"/>
        </w:rPr>
        <w:t xml:space="preserve">της </w:t>
      </w:r>
      <w:r w:rsidR="00113160" w:rsidRPr="00466715">
        <w:rPr>
          <w:rFonts w:ascii="Tahoma" w:hAnsi="Tahoma" w:cs="Tahoma"/>
        </w:rPr>
        <w:t>εταιρείας</w:t>
      </w:r>
      <w:r w:rsidRPr="00466715">
        <w:rPr>
          <w:rFonts w:ascii="Tahoma" w:hAnsi="Tahoma" w:cs="Tahoma"/>
        </w:rPr>
        <w:t xml:space="preserve"> </w:t>
      </w:r>
      <w:r w:rsidR="00281D0D" w:rsidRPr="00466715">
        <w:rPr>
          <w:rFonts w:ascii="Tahoma" w:hAnsi="Tahoma" w:cs="Tahoma"/>
        </w:rPr>
        <w:t xml:space="preserve">κρίνεται </w:t>
      </w:r>
      <w:r w:rsidR="008B521C" w:rsidRPr="00466715">
        <w:rPr>
          <w:rFonts w:ascii="Tahoma" w:hAnsi="Tahoma" w:cs="Tahoma"/>
        </w:rPr>
        <w:t xml:space="preserve">ως </w:t>
      </w:r>
      <w:r w:rsidR="00281D0D" w:rsidRPr="00466715">
        <w:rPr>
          <w:rFonts w:ascii="Tahoma" w:hAnsi="Tahoma" w:cs="Tahoma"/>
        </w:rPr>
        <w:t xml:space="preserve">ικανοποιητική. Όσον αφορά την εξέλιξη </w:t>
      </w:r>
      <w:r w:rsidR="00206011" w:rsidRPr="00466715">
        <w:rPr>
          <w:rFonts w:ascii="Tahoma" w:hAnsi="Tahoma" w:cs="Tahoma"/>
        </w:rPr>
        <w:t xml:space="preserve">των </w:t>
      </w:r>
      <w:r w:rsidR="00641198" w:rsidRPr="00466715">
        <w:rPr>
          <w:rFonts w:ascii="Tahoma" w:hAnsi="Tahoma" w:cs="Tahoma"/>
        </w:rPr>
        <w:t xml:space="preserve">του κύκλου εργασιών και των </w:t>
      </w:r>
      <w:r w:rsidR="00206011" w:rsidRPr="00466715">
        <w:rPr>
          <w:rFonts w:ascii="Tahoma" w:hAnsi="Tahoma" w:cs="Tahoma"/>
        </w:rPr>
        <w:t>αποτελεσμάτων</w:t>
      </w:r>
      <w:r w:rsidRPr="00466715">
        <w:rPr>
          <w:rFonts w:ascii="Tahoma" w:hAnsi="Tahoma" w:cs="Tahoma"/>
        </w:rPr>
        <w:t>,</w:t>
      </w:r>
      <w:r w:rsidR="00641198">
        <w:rPr>
          <w:rFonts w:ascii="Tahoma" w:hAnsi="Tahoma" w:cs="Tahoma"/>
        </w:rPr>
        <w:t xml:space="preserve"> </w:t>
      </w:r>
      <w:r w:rsidR="00281D0D">
        <w:rPr>
          <w:rFonts w:ascii="Tahoma" w:hAnsi="Tahoma" w:cs="Tahoma"/>
        </w:rPr>
        <w:t xml:space="preserve">ο κύκλος εργασιών </w:t>
      </w:r>
      <w:r w:rsidR="00281D0D" w:rsidRPr="00740E80">
        <w:rPr>
          <w:rFonts w:ascii="Tahoma" w:hAnsi="Tahoma" w:cs="Tahoma"/>
        </w:rPr>
        <w:t xml:space="preserve">εμφάνισε </w:t>
      </w:r>
      <w:r w:rsidR="00B248D3">
        <w:rPr>
          <w:rFonts w:ascii="Tahoma" w:hAnsi="Tahoma" w:cs="Tahoma"/>
        </w:rPr>
        <w:t>αύξηση</w:t>
      </w:r>
      <w:r w:rsidR="00281D0D" w:rsidRPr="00740E80">
        <w:rPr>
          <w:rFonts w:ascii="Tahoma" w:hAnsi="Tahoma" w:cs="Tahoma"/>
        </w:rPr>
        <w:t xml:space="preserve"> </w:t>
      </w:r>
      <w:r w:rsidR="00AC7882">
        <w:rPr>
          <w:rFonts w:ascii="Tahoma" w:hAnsi="Tahoma" w:cs="Tahoma"/>
        </w:rPr>
        <w:t>3,87</w:t>
      </w:r>
      <w:r w:rsidR="008B521C" w:rsidRPr="008B521C">
        <w:rPr>
          <w:rFonts w:ascii="Tahoma" w:hAnsi="Tahoma" w:cs="Tahoma"/>
        </w:rPr>
        <w:t>%</w:t>
      </w:r>
      <w:r w:rsidR="00641198" w:rsidRPr="00740E80">
        <w:rPr>
          <w:rFonts w:ascii="Tahoma" w:hAnsi="Tahoma" w:cs="Tahoma"/>
        </w:rPr>
        <w:t xml:space="preserve"> </w:t>
      </w:r>
      <w:r w:rsidR="008B521C">
        <w:rPr>
          <w:rFonts w:ascii="Tahoma" w:hAnsi="Tahoma" w:cs="Tahoma"/>
        </w:rPr>
        <w:t xml:space="preserve">συγκριτικά με την προηγούμενη χρήση </w:t>
      </w:r>
      <w:r w:rsidR="00641198" w:rsidRPr="00740E80">
        <w:rPr>
          <w:rFonts w:ascii="Tahoma" w:hAnsi="Tahoma" w:cs="Tahoma"/>
        </w:rPr>
        <w:t>ενώ</w:t>
      </w:r>
      <w:r w:rsidR="00C90C44" w:rsidRPr="00740E80">
        <w:rPr>
          <w:rFonts w:ascii="Tahoma" w:hAnsi="Tahoma" w:cs="Tahoma"/>
        </w:rPr>
        <w:t xml:space="preserve"> </w:t>
      </w:r>
      <w:r w:rsidR="009F20B2" w:rsidRPr="00740E80">
        <w:rPr>
          <w:rFonts w:ascii="Tahoma" w:hAnsi="Tahoma" w:cs="Tahoma"/>
        </w:rPr>
        <w:t xml:space="preserve">τα </w:t>
      </w:r>
      <w:r w:rsidR="005E53A9">
        <w:rPr>
          <w:rFonts w:ascii="Tahoma" w:hAnsi="Tahoma" w:cs="Tahoma"/>
        </w:rPr>
        <w:t>α</w:t>
      </w:r>
      <w:r w:rsidR="00206011" w:rsidRPr="00740E80">
        <w:rPr>
          <w:rFonts w:ascii="Tahoma" w:hAnsi="Tahoma" w:cs="Tahoma"/>
        </w:rPr>
        <w:t xml:space="preserve">ποτελέσματα </w:t>
      </w:r>
      <w:r w:rsidR="00641198" w:rsidRPr="00740E80">
        <w:rPr>
          <w:rFonts w:ascii="Tahoma" w:hAnsi="Tahoma" w:cs="Tahoma"/>
        </w:rPr>
        <w:t xml:space="preserve">της </w:t>
      </w:r>
      <w:r w:rsidR="00206011" w:rsidRPr="00740E80">
        <w:rPr>
          <w:rFonts w:ascii="Tahoma" w:hAnsi="Tahoma" w:cs="Tahoma"/>
        </w:rPr>
        <w:t>χρήσ</w:t>
      </w:r>
      <w:r w:rsidR="00641198" w:rsidRPr="00740E80">
        <w:rPr>
          <w:rFonts w:ascii="Tahoma" w:hAnsi="Tahoma" w:cs="Tahoma"/>
        </w:rPr>
        <w:t>ης</w:t>
      </w:r>
      <w:r w:rsidR="00CF146F" w:rsidRPr="00740E80">
        <w:rPr>
          <w:rFonts w:ascii="Tahoma" w:hAnsi="Tahoma" w:cs="Tahoma"/>
        </w:rPr>
        <w:t xml:space="preserve"> </w:t>
      </w:r>
      <w:r w:rsidR="00623180">
        <w:rPr>
          <w:rFonts w:ascii="Tahoma" w:hAnsi="Tahoma" w:cs="Tahoma"/>
        </w:rPr>
        <w:t xml:space="preserve">μετά από φόρους </w:t>
      </w:r>
      <w:r w:rsidR="00EB0E1D">
        <w:rPr>
          <w:rFonts w:ascii="Tahoma" w:hAnsi="Tahoma" w:cs="Tahoma"/>
        </w:rPr>
        <w:t>(ζημιές</w:t>
      </w:r>
      <w:r w:rsidR="009F20B2" w:rsidRPr="00740E80">
        <w:rPr>
          <w:rFonts w:ascii="Tahoma" w:hAnsi="Tahoma" w:cs="Tahoma"/>
        </w:rPr>
        <w:t>)</w:t>
      </w:r>
      <w:r w:rsidR="00206011" w:rsidRPr="00740E80">
        <w:rPr>
          <w:rFonts w:ascii="Tahoma" w:hAnsi="Tahoma" w:cs="Tahoma"/>
        </w:rPr>
        <w:t xml:space="preserve"> ανήλθαν στο ποσό ευρώ </w:t>
      </w:r>
      <w:r w:rsidR="00AC7882">
        <w:rPr>
          <w:rFonts w:ascii="Tahoma" w:hAnsi="Tahoma" w:cs="Tahoma"/>
          <w:bCs/>
        </w:rPr>
        <w:t>124.851,63</w:t>
      </w:r>
      <w:r w:rsidRPr="00740E80">
        <w:rPr>
          <w:rFonts w:ascii="Tahoma" w:hAnsi="Tahoma" w:cs="Tahoma"/>
          <w:bCs/>
        </w:rPr>
        <w:t xml:space="preserve"> </w:t>
      </w:r>
      <w:r w:rsidR="00281D0D" w:rsidRPr="00740E80">
        <w:rPr>
          <w:rFonts w:ascii="Tahoma" w:hAnsi="Tahoma" w:cs="Tahoma"/>
          <w:bCs/>
        </w:rPr>
        <w:t>(</w:t>
      </w:r>
      <w:r w:rsidR="00AC7882">
        <w:rPr>
          <w:rFonts w:ascii="Tahoma" w:hAnsi="Tahoma" w:cs="Tahoma"/>
          <w:bCs/>
        </w:rPr>
        <w:t>μείωση</w:t>
      </w:r>
      <w:r w:rsidR="00212806">
        <w:rPr>
          <w:rFonts w:ascii="Tahoma" w:hAnsi="Tahoma" w:cs="Tahoma"/>
          <w:bCs/>
        </w:rPr>
        <w:t xml:space="preserve"> </w:t>
      </w:r>
      <w:r w:rsidR="00AC7882">
        <w:rPr>
          <w:rFonts w:ascii="Tahoma" w:hAnsi="Tahoma" w:cs="Tahoma"/>
          <w:bCs/>
        </w:rPr>
        <w:t>59,88</w:t>
      </w:r>
      <w:r w:rsidR="008B521C" w:rsidRPr="008B521C">
        <w:rPr>
          <w:rFonts w:ascii="Tahoma" w:hAnsi="Tahoma" w:cs="Tahoma"/>
          <w:bCs/>
        </w:rPr>
        <w:t>%</w:t>
      </w:r>
      <w:r w:rsidR="00281D0D" w:rsidRPr="00740E80">
        <w:rPr>
          <w:rFonts w:ascii="Tahoma" w:hAnsi="Tahoma" w:cs="Tahoma"/>
          <w:bCs/>
        </w:rPr>
        <w:t>)</w:t>
      </w:r>
      <w:r w:rsidR="00206011" w:rsidRPr="00740E80">
        <w:rPr>
          <w:rFonts w:ascii="Tahoma" w:hAnsi="Tahoma" w:cs="Tahoma"/>
        </w:rPr>
        <w:t xml:space="preserve">. Ο Ισολογισμός παρουσιάζει γενικό σύνολο Ενεργητικού και Παθητικού ευρώ </w:t>
      </w:r>
      <w:r w:rsidR="00AC7882">
        <w:rPr>
          <w:rFonts w:ascii="Tahoma" w:hAnsi="Tahoma" w:cs="Tahoma"/>
          <w:bCs/>
        </w:rPr>
        <w:t>8.555.131,10</w:t>
      </w:r>
      <w:r w:rsidR="0064166F" w:rsidRPr="0064166F">
        <w:rPr>
          <w:rFonts w:ascii="Tahoma" w:hAnsi="Tahoma" w:cs="Tahoma"/>
        </w:rPr>
        <w:t>.</w:t>
      </w:r>
      <w:r w:rsidR="00AC7882">
        <w:rPr>
          <w:rFonts w:ascii="Tahoma" w:hAnsi="Tahoma" w:cs="Tahoma"/>
        </w:rPr>
        <w:t xml:space="preserve"> </w:t>
      </w:r>
      <w:r w:rsidR="00206011" w:rsidRPr="00740E80">
        <w:rPr>
          <w:rFonts w:ascii="Tahoma" w:hAnsi="Tahoma" w:cs="Tahoma"/>
        </w:rPr>
        <w:t>Αναφερόμενοι στα</w:t>
      </w:r>
      <w:r w:rsidR="00206011" w:rsidRPr="00F154D8">
        <w:rPr>
          <w:rFonts w:ascii="Tahoma" w:hAnsi="Tahoma" w:cs="Tahoma"/>
        </w:rPr>
        <w:t xml:space="preserve"> επιμέρους στοιχεία του ισολογισμού σημειώνουμε τα κάτωθι:</w:t>
      </w:r>
    </w:p>
    <w:p w:rsidR="00CC18E1" w:rsidRPr="00BA12B8" w:rsidRDefault="00BA12B8" w:rsidP="00BA12B8">
      <w:pPr>
        <w:pStyle w:val="7"/>
        <w:rPr>
          <w:rFonts w:ascii="Tahoma" w:hAnsi="Tahoma" w:cs="Tahoma"/>
          <w:b/>
          <w:i w:val="0"/>
        </w:rPr>
      </w:pPr>
      <w:r w:rsidRPr="00BA12B8">
        <w:rPr>
          <w:rFonts w:ascii="Tahoma" w:hAnsi="Tahoma" w:cs="Tahoma"/>
          <w:b/>
          <w:i w:val="0"/>
          <w:iCs w:val="0"/>
        </w:rPr>
        <w:t>2.1.</w:t>
      </w:r>
      <w:r w:rsidRPr="00BA12B8">
        <w:rPr>
          <w:rFonts w:ascii="Tahoma" w:hAnsi="Tahoma" w:cs="Tahoma"/>
          <w:b/>
          <w:i w:val="0"/>
          <w:iCs w:val="0"/>
        </w:rPr>
        <w:tab/>
        <w:t xml:space="preserve">Για τα μη </w:t>
      </w:r>
      <w:proofErr w:type="spellStart"/>
      <w:r w:rsidRPr="00BA12B8">
        <w:rPr>
          <w:rFonts w:ascii="Tahoma" w:hAnsi="Tahoma" w:cs="Tahoma"/>
          <w:b/>
          <w:i w:val="0"/>
          <w:iCs w:val="0"/>
        </w:rPr>
        <w:t>κυκλοφορούντα</w:t>
      </w:r>
      <w:proofErr w:type="spellEnd"/>
      <w:r w:rsidRPr="00BA12B8">
        <w:rPr>
          <w:rFonts w:ascii="Tahoma" w:hAnsi="Tahoma" w:cs="Tahoma"/>
          <w:b/>
          <w:i w:val="0"/>
          <w:iCs w:val="0"/>
        </w:rPr>
        <w:t xml:space="preserve"> περιουσιακά στοιχ</w:t>
      </w:r>
      <w:r w:rsidRPr="00BA12B8">
        <w:rPr>
          <w:rFonts w:ascii="Tahoma" w:hAnsi="Tahoma" w:cs="Tahoma"/>
          <w:b/>
          <w:i w:val="0"/>
        </w:rPr>
        <w:t>εία του ενεργητικού</w:t>
      </w:r>
    </w:p>
    <w:p w:rsidR="00206011" w:rsidRPr="00BA12B8" w:rsidRDefault="00206011" w:rsidP="00FB299C"/>
    <w:p w:rsidR="00661612" w:rsidRPr="00E03F1A" w:rsidRDefault="005673A5" w:rsidP="005673A5">
      <w:pPr>
        <w:numPr>
          <w:ilvl w:val="0"/>
          <w:numId w:val="1"/>
        </w:numPr>
        <w:tabs>
          <w:tab w:val="clear" w:pos="502"/>
        </w:tabs>
        <w:spacing w:line="276" w:lineRule="auto"/>
        <w:ind w:left="426" w:hanging="426"/>
        <w:rPr>
          <w:rFonts w:ascii="Tahoma" w:hAnsi="Tahoma" w:cs="Tahoma"/>
          <w:bCs/>
        </w:rPr>
      </w:pPr>
      <w:r>
        <w:rPr>
          <w:rFonts w:ascii="Tahoma" w:hAnsi="Tahoma" w:cs="Tahoma"/>
          <w:bCs/>
        </w:rPr>
        <w:t xml:space="preserve">Η </w:t>
      </w:r>
      <w:proofErr w:type="spellStart"/>
      <w:r>
        <w:rPr>
          <w:rFonts w:ascii="Tahoma" w:hAnsi="Tahoma" w:cs="Tahoma"/>
          <w:bCs/>
        </w:rPr>
        <w:t>αναπόσβεστη</w:t>
      </w:r>
      <w:proofErr w:type="spellEnd"/>
      <w:r>
        <w:rPr>
          <w:rFonts w:ascii="Tahoma" w:hAnsi="Tahoma" w:cs="Tahoma"/>
          <w:bCs/>
        </w:rPr>
        <w:t xml:space="preserve"> αξία των α</w:t>
      </w:r>
      <w:r w:rsidR="00661612">
        <w:rPr>
          <w:rFonts w:ascii="Tahoma" w:hAnsi="Tahoma" w:cs="Tahoma"/>
          <w:bCs/>
        </w:rPr>
        <w:t xml:space="preserve">κινήτων, ανέρχεται σε ποσό ευρώ </w:t>
      </w:r>
      <w:r w:rsidR="00AC7882">
        <w:rPr>
          <w:rFonts w:ascii="Tahoma" w:hAnsi="Tahoma" w:cs="Tahoma"/>
          <w:bCs/>
        </w:rPr>
        <w:t>2.193.783,69</w:t>
      </w:r>
      <w:r w:rsidR="00661612">
        <w:rPr>
          <w:rFonts w:ascii="Tahoma" w:hAnsi="Tahoma" w:cs="Tahoma"/>
          <w:bCs/>
        </w:rPr>
        <w:t>, αναλύεται δε σε</w:t>
      </w:r>
      <w:r w:rsidR="00E03F1A" w:rsidRPr="00E03F1A">
        <w:rPr>
          <w:rFonts w:ascii="Tahoma" w:hAnsi="Tahoma" w:cs="Tahoma"/>
          <w:bCs/>
        </w:rPr>
        <w:t>:</w:t>
      </w:r>
    </w:p>
    <w:p w:rsidR="00E03F1A" w:rsidRPr="00EE45DB" w:rsidRDefault="00E03F1A" w:rsidP="005673A5">
      <w:pPr>
        <w:pStyle w:val="a7"/>
        <w:numPr>
          <w:ilvl w:val="0"/>
          <w:numId w:val="15"/>
        </w:numPr>
        <w:spacing w:line="276" w:lineRule="auto"/>
        <w:ind w:left="851" w:hanging="425"/>
        <w:rPr>
          <w:rFonts w:ascii="Tahoma" w:hAnsi="Tahoma" w:cs="Tahoma"/>
          <w:bCs/>
        </w:rPr>
      </w:pPr>
      <w:r>
        <w:rPr>
          <w:rFonts w:ascii="Tahoma" w:hAnsi="Tahoma" w:cs="Tahoma"/>
        </w:rPr>
        <w:lastRenderedPageBreak/>
        <w:t>Κτίρια</w:t>
      </w:r>
      <w:r w:rsidRPr="003D4413">
        <w:rPr>
          <w:rFonts w:ascii="Tahoma" w:hAnsi="Tahoma" w:cs="Tahoma"/>
        </w:rPr>
        <w:t xml:space="preserve">, </w:t>
      </w:r>
      <w:r>
        <w:rPr>
          <w:rFonts w:ascii="Tahoma" w:hAnsi="Tahoma" w:cs="Tahoma"/>
          <w:bCs/>
        </w:rPr>
        <w:t xml:space="preserve">των οποίων η αξία κτήσεως </w:t>
      </w:r>
      <w:r w:rsidRPr="003D4413">
        <w:rPr>
          <w:rFonts w:ascii="Tahoma" w:hAnsi="Tahoma" w:cs="Tahoma"/>
        </w:rPr>
        <w:t>ανέρχεται σε</w:t>
      </w:r>
      <w:r>
        <w:rPr>
          <w:rFonts w:ascii="Tahoma" w:hAnsi="Tahoma" w:cs="Tahoma"/>
        </w:rPr>
        <w:t xml:space="preserve"> ποσό ευρώ </w:t>
      </w:r>
      <w:r w:rsidR="00AC7882">
        <w:rPr>
          <w:rFonts w:ascii="Tahoma" w:hAnsi="Tahoma" w:cs="Tahoma"/>
        </w:rPr>
        <w:t>3.446.663,01</w:t>
      </w:r>
      <w:r w:rsidR="0064166F" w:rsidRPr="0064166F">
        <w:rPr>
          <w:rFonts w:ascii="Tahoma" w:hAnsi="Tahoma" w:cs="Tahoma"/>
        </w:rPr>
        <w:t xml:space="preserve"> </w:t>
      </w:r>
      <w:r>
        <w:rPr>
          <w:rFonts w:ascii="Tahoma" w:hAnsi="Tahoma" w:cs="Tahoma"/>
        </w:rPr>
        <w:t>ενώ</w:t>
      </w:r>
      <w:r w:rsidRPr="003D4413">
        <w:rPr>
          <w:rFonts w:ascii="Tahoma" w:hAnsi="Tahoma" w:cs="Tahoma"/>
        </w:rPr>
        <w:t xml:space="preserve"> η </w:t>
      </w:r>
      <w:proofErr w:type="spellStart"/>
      <w:r w:rsidRPr="003D4413">
        <w:rPr>
          <w:rFonts w:ascii="Tahoma" w:hAnsi="Tahoma" w:cs="Tahoma"/>
        </w:rPr>
        <w:t>αναπόσβεστη</w:t>
      </w:r>
      <w:proofErr w:type="spellEnd"/>
      <w:r w:rsidRPr="003D4413">
        <w:rPr>
          <w:rFonts w:ascii="Tahoma" w:hAnsi="Tahoma" w:cs="Tahoma"/>
        </w:rPr>
        <w:t xml:space="preserve"> αξία</w:t>
      </w:r>
      <w:r>
        <w:rPr>
          <w:rFonts w:ascii="Tahoma" w:hAnsi="Tahoma" w:cs="Tahoma"/>
        </w:rPr>
        <w:t xml:space="preserve"> αυτών ανέρχεται</w:t>
      </w:r>
      <w:r w:rsidR="0064166F">
        <w:rPr>
          <w:rFonts w:ascii="Tahoma" w:hAnsi="Tahoma" w:cs="Tahoma"/>
        </w:rPr>
        <w:t xml:space="preserve"> στο ποσό των ευρώ </w:t>
      </w:r>
      <w:r w:rsidR="00AC7882">
        <w:rPr>
          <w:rFonts w:ascii="Tahoma" w:hAnsi="Tahoma" w:cs="Tahoma"/>
        </w:rPr>
        <w:t>1.544.379,70</w:t>
      </w:r>
      <w:r w:rsidR="007211E8">
        <w:rPr>
          <w:rFonts w:ascii="Tahoma" w:hAnsi="Tahoma" w:cs="Tahoma"/>
        </w:rPr>
        <w:t>.</w:t>
      </w:r>
    </w:p>
    <w:p w:rsidR="00EE45DB" w:rsidRPr="002945E9" w:rsidRDefault="00EE45DB" w:rsidP="005673A5">
      <w:pPr>
        <w:pStyle w:val="a7"/>
        <w:numPr>
          <w:ilvl w:val="0"/>
          <w:numId w:val="15"/>
        </w:numPr>
        <w:spacing w:line="276" w:lineRule="auto"/>
        <w:ind w:left="851" w:hanging="425"/>
        <w:rPr>
          <w:rFonts w:ascii="Tahoma" w:hAnsi="Tahoma" w:cs="Tahoma"/>
          <w:bCs/>
        </w:rPr>
      </w:pPr>
      <w:r>
        <w:rPr>
          <w:rFonts w:ascii="Tahoma" w:hAnsi="Tahoma" w:cs="Tahoma"/>
        </w:rPr>
        <w:t xml:space="preserve">Γήπεδα, των οποίων η αξία κτήσεως ανέρχεται σε </w:t>
      </w:r>
      <w:r w:rsidR="0027603F">
        <w:rPr>
          <w:rFonts w:ascii="Tahoma" w:hAnsi="Tahoma" w:cs="Tahoma"/>
        </w:rPr>
        <w:t>ποσό ευρώ</w:t>
      </w:r>
      <w:r>
        <w:rPr>
          <w:rFonts w:ascii="Tahoma" w:hAnsi="Tahoma" w:cs="Tahoma"/>
        </w:rPr>
        <w:t xml:space="preserve"> 649.403,99</w:t>
      </w:r>
      <w:r w:rsidR="0027603F">
        <w:rPr>
          <w:rFonts w:ascii="Tahoma" w:hAnsi="Tahoma" w:cs="Tahoma"/>
        </w:rPr>
        <w:t xml:space="preserve">,ενώ η </w:t>
      </w:r>
      <w:proofErr w:type="spellStart"/>
      <w:r w:rsidR="0027603F">
        <w:rPr>
          <w:rFonts w:ascii="Tahoma" w:hAnsi="Tahoma" w:cs="Tahoma"/>
        </w:rPr>
        <w:t>αναπόσβεστη</w:t>
      </w:r>
      <w:proofErr w:type="spellEnd"/>
      <w:r w:rsidR="0027603F">
        <w:rPr>
          <w:rFonts w:ascii="Tahoma" w:hAnsi="Tahoma" w:cs="Tahoma"/>
        </w:rPr>
        <w:t xml:space="preserve"> αξία </w:t>
      </w:r>
      <w:r w:rsidR="007211E8">
        <w:rPr>
          <w:rFonts w:ascii="Tahoma" w:hAnsi="Tahoma" w:cs="Tahoma"/>
        </w:rPr>
        <w:t>αυτών ανέρχεται σε 649.403,99</w:t>
      </w:r>
    </w:p>
    <w:p w:rsidR="002945E9" w:rsidRPr="002945E9" w:rsidRDefault="005673A5" w:rsidP="005673A5">
      <w:pPr>
        <w:numPr>
          <w:ilvl w:val="0"/>
          <w:numId w:val="1"/>
        </w:numPr>
        <w:tabs>
          <w:tab w:val="clear" w:pos="502"/>
        </w:tabs>
        <w:spacing w:line="276" w:lineRule="auto"/>
        <w:ind w:left="426" w:hanging="426"/>
        <w:rPr>
          <w:rFonts w:ascii="Tahoma" w:hAnsi="Tahoma" w:cs="Tahoma"/>
          <w:bCs/>
        </w:rPr>
      </w:pPr>
      <w:r>
        <w:rPr>
          <w:rFonts w:ascii="Tahoma" w:hAnsi="Tahoma" w:cs="Tahoma"/>
          <w:bCs/>
        </w:rPr>
        <w:t xml:space="preserve">Η </w:t>
      </w:r>
      <w:proofErr w:type="spellStart"/>
      <w:r>
        <w:rPr>
          <w:rFonts w:ascii="Tahoma" w:hAnsi="Tahoma" w:cs="Tahoma"/>
          <w:bCs/>
        </w:rPr>
        <w:t>αναπόσβεστη</w:t>
      </w:r>
      <w:proofErr w:type="spellEnd"/>
      <w:r>
        <w:rPr>
          <w:rFonts w:ascii="Tahoma" w:hAnsi="Tahoma" w:cs="Tahoma"/>
          <w:bCs/>
        </w:rPr>
        <w:t xml:space="preserve"> αξία του μ</w:t>
      </w:r>
      <w:r w:rsidR="002945E9">
        <w:rPr>
          <w:rFonts w:ascii="Tahoma" w:hAnsi="Tahoma" w:cs="Tahoma"/>
          <w:bCs/>
        </w:rPr>
        <w:t xml:space="preserve">ηχανολογικού εξοπλισμού, ανέρχεται σε ποσό ευρώ </w:t>
      </w:r>
      <w:r w:rsidR="00A32A71">
        <w:rPr>
          <w:rFonts w:ascii="Tahoma" w:hAnsi="Tahoma" w:cs="Tahoma"/>
          <w:bCs/>
        </w:rPr>
        <w:t>1.461.071,02</w:t>
      </w:r>
      <w:r w:rsidR="002945E9">
        <w:rPr>
          <w:rFonts w:ascii="Tahoma" w:hAnsi="Tahoma" w:cs="Tahoma"/>
          <w:bCs/>
        </w:rPr>
        <w:t>, αναλύεται δε σε</w:t>
      </w:r>
      <w:r w:rsidR="002945E9" w:rsidRPr="00E03F1A">
        <w:rPr>
          <w:rFonts w:ascii="Tahoma" w:hAnsi="Tahoma" w:cs="Tahoma"/>
          <w:bCs/>
        </w:rPr>
        <w:t>:</w:t>
      </w:r>
      <w:r w:rsidR="002945E9">
        <w:rPr>
          <w:rFonts w:ascii="Tahoma" w:hAnsi="Tahoma" w:cs="Tahoma"/>
          <w:bCs/>
        </w:rPr>
        <w:t xml:space="preserve"> </w:t>
      </w:r>
      <w:r w:rsidR="002945E9" w:rsidRPr="002945E9">
        <w:rPr>
          <w:rFonts w:ascii="Tahoma" w:hAnsi="Tahoma" w:cs="Tahoma"/>
          <w:bCs/>
        </w:rPr>
        <w:t>αξία κτήσεως ποσ</w:t>
      </w:r>
      <w:r w:rsidR="002945E9">
        <w:rPr>
          <w:rFonts w:ascii="Tahoma" w:hAnsi="Tahoma" w:cs="Tahoma"/>
          <w:bCs/>
        </w:rPr>
        <w:t>ού</w:t>
      </w:r>
      <w:r w:rsidR="002945E9" w:rsidRPr="002945E9">
        <w:rPr>
          <w:rFonts w:ascii="Tahoma" w:hAnsi="Tahoma" w:cs="Tahoma"/>
          <w:bCs/>
        </w:rPr>
        <w:t xml:space="preserve"> ευρώ </w:t>
      </w:r>
      <w:r w:rsidR="00A32A71">
        <w:rPr>
          <w:rFonts w:ascii="Tahoma" w:hAnsi="Tahoma" w:cs="Tahoma"/>
        </w:rPr>
        <w:t>5.325.571,14</w:t>
      </w:r>
      <w:r w:rsidR="002945E9" w:rsidRPr="002945E9">
        <w:rPr>
          <w:rFonts w:ascii="Tahoma" w:hAnsi="Tahoma" w:cs="Tahoma"/>
        </w:rPr>
        <w:t xml:space="preserve"> </w:t>
      </w:r>
      <w:r w:rsidR="002945E9">
        <w:rPr>
          <w:rFonts w:ascii="Tahoma" w:hAnsi="Tahoma" w:cs="Tahoma"/>
        </w:rPr>
        <w:t>μείον συσσωρευμένες αποσβέσεις</w:t>
      </w:r>
      <w:r w:rsidR="002945E9" w:rsidRPr="002945E9">
        <w:rPr>
          <w:rFonts w:ascii="Tahoma" w:hAnsi="Tahoma" w:cs="Tahoma"/>
        </w:rPr>
        <w:t xml:space="preserve"> ποσ</w:t>
      </w:r>
      <w:r w:rsidR="002945E9">
        <w:rPr>
          <w:rFonts w:ascii="Tahoma" w:hAnsi="Tahoma" w:cs="Tahoma"/>
        </w:rPr>
        <w:t>ού</w:t>
      </w:r>
      <w:r w:rsidR="002945E9" w:rsidRPr="002945E9">
        <w:rPr>
          <w:rFonts w:ascii="Tahoma" w:hAnsi="Tahoma" w:cs="Tahoma"/>
        </w:rPr>
        <w:t xml:space="preserve"> ευρώ </w:t>
      </w:r>
      <w:r w:rsidR="00A32A71">
        <w:rPr>
          <w:rFonts w:ascii="Tahoma" w:hAnsi="Tahoma" w:cs="Tahoma"/>
        </w:rPr>
        <w:t>3.864.500,12</w:t>
      </w:r>
      <w:r w:rsidR="007211E8">
        <w:rPr>
          <w:rFonts w:ascii="Tahoma" w:hAnsi="Tahoma" w:cs="Tahoma"/>
        </w:rPr>
        <w:t>.</w:t>
      </w:r>
    </w:p>
    <w:p w:rsidR="00E03F1A" w:rsidRDefault="005673A5" w:rsidP="005673A5">
      <w:pPr>
        <w:numPr>
          <w:ilvl w:val="0"/>
          <w:numId w:val="1"/>
        </w:numPr>
        <w:tabs>
          <w:tab w:val="clear" w:pos="502"/>
        </w:tabs>
        <w:spacing w:line="276" w:lineRule="auto"/>
        <w:ind w:left="426" w:hanging="426"/>
        <w:rPr>
          <w:rFonts w:ascii="Tahoma" w:hAnsi="Tahoma" w:cs="Tahoma"/>
          <w:bCs/>
        </w:rPr>
      </w:pPr>
      <w:r>
        <w:rPr>
          <w:rFonts w:ascii="Tahoma" w:hAnsi="Tahoma" w:cs="Tahoma"/>
          <w:bCs/>
        </w:rPr>
        <w:t xml:space="preserve">Η </w:t>
      </w:r>
      <w:proofErr w:type="spellStart"/>
      <w:r>
        <w:rPr>
          <w:rFonts w:ascii="Tahoma" w:hAnsi="Tahoma" w:cs="Tahoma"/>
          <w:bCs/>
        </w:rPr>
        <w:t>αναπόσβεστη</w:t>
      </w:r>
      <w:proofErr w:type="spellEnd"/>
      <w:r>
        <w:rPr>
          <w:rFonts w:ascii="Tahoma" w:hAnsi="Tahoma" w:cs="Tahoma"/>
          <w:bCs/>
        </w:rPr>
        <w:t xml:space="preserve"> αξία του λ</w:t>
      </w:r>
      <w:r w:rsidR="00E03F1A">
        <w:rPr>
          <w:rFonts w:ascii="Tahoma" w:hAnsi="Tahoma" w:cs="Tahoma"/>
          <w:bCs/>
        </w:rPr>
        <w:t xml:space="preserve">οιπού εξοπλισμού, ανέρχεται σε ποσό ευρώ </w:t>
      </w:r>
      <w:r w:rsidR="00A32A71">
        <w:rPr>
          <w:rFonts w:ascii="Tahoma" w:hAnsi="Tahoma" w:cs="Tahoma"/>
          <w:bCs/>
        </w:rPr>
        <w:t>86.260,83</w:t>
      </w:r>
      <w:r w:rsidR="00E03F1A">
        <w:rPr>
          <w:rFonts w:ascii="Tahoma" w:hAnsi="Tahoma" w:cs="Tahoma"/>
          <w:bCs/>
        </w:rPr>
        <w:t>, αναλύεται δε σε</w:t>
      </w:r>
      <w:r w:rsidR="00E03F1A" w:rsidRPr="00E03F1A">
        <w:rPr>
          <w:rFonts w:ascii="Tahoma" w:hAnsi="Tahoma" w:cs="Tahoma"/>
          <w:bCs/>
        </w:rPr>
        <w:t>:</w:t>
      </w:r>
    </w:p>
    <w:p w:rsidR="00E03F1A" w:rsidRPr="00E03F1A" w:rsidRDefault="00E03F1A" w:rsidP="005673A5">
      <w:pPr>
        <w:pStyle w:val="a7"/>
        <w:numPr>
          <w:ilvl w:val="0"/>
          <w:numId w:val="16"/>
        </w:numPr>
        <w:spacing w:line="276" w:lineRule="auto"/>
        <w:ind w:left="851" w:hanging="425"/>
        <w:rPr>
          <w:rFonts w:ascii="Tahoma" w:hAnsi="Tahoma" w:cs="Tahoma"/>
          <w:bCs/>
        </w:rPr>
      </w:pPr>
      <w:r>
        <w:rPr>
          <w:rFonts w:ascii="Tahoma" w:hAnsi="Tahoma" w:cs="Tahoma"/>
        </w:rPr>
        <w:t>Μεταφορικά μέσα</w:t>
      </w:r>
      <w:r w:rsidRPr="003D4413">
        <w:rPr>
          <w:rFonts w:ascii="Tahoma" w:hAnsi="Tahoma" w:cs="Tahoma"/>
        </w:rPr>
        <w:t xml:space="preserve"> </w:t>
      </w:r>
      <w:r>
        <w:rPr>
          <w:rFonts w:ascii="Tahoma" w:hAnsi="Tahoma" w:cs="Tahoma"/>
          <w:bCs/>
        </w:rPr>
        <w:t xml:space="preserve">των οποίων η αξία κτήσεως </w:t>
      </w:r>
      <w:r w:rsidRPr="003D4413">
        <w:rPr>
          <w:rFonts w:ascii="Tahoma" w:hAnsi="Tahoma" w:cs="Tahoma"/>
        </w:rPr>
        <w:t>ανέρχεται σε</w:t>
      </w:r>
      <w:r>
        <w:rPr>
          <w:rFonts w:ascii="Tahoma" w:hAnsi="Tahoma" w:cs="Tahoma"/>
        </w:rPr>
        <w:t xml:space="preserve"> ποσό ευρώ </w:t>
      </w:r>
      <w:r w:rsidR="00A32A71">
        <w:rPr>
          <w:rFonts w:ascii="Tahoma" w:hAnsi="Tahoma" w:cs="Tahoma"/>
        </w:rPr>
        <w:t>165.766,30</w:t>
      </w:r>
      <w:r>
        <w:rPr>
          <w:rFonts w:ascii="Tahoma" w:hAnsi="Tahoma" w:cs="Tahoma"/>
        </w:rPr>
        <w:t xml:space="preserve"> ενώ η </w:t>
      </w:r>
      <w:proofErr w:type="spellStart"/>
      <w:r>
        <w:rPr>
          <w:rFonts w:ascii="Tahoma" w:hAnsi="Tahoma" w:cs="Tahoma"/>
        </w:rPr>
        <w:t>αναπόσβεστη</w:t>
      </w:r>
      <w:proofErr w:type="spellEnd"/>
      <w:r>
        <w:rPr>
          <w:rFonts w:ascii="Tahoma" w:hAnsi="Tahoma" w:cs="Tahoma"/>
        </w:rPr>
        <w:t xml:space="preserve"> αξία αυτών ανέρχεται στο ποσό των ευρώ </w:t>
      </w:r>
      <w:r w:rsidR="00A32A71">
        <w:rPr>
          <w:rFonts w:ascii="Tahoma" w:hAnsi="Tahoma" w:cs="Tahoma"/>
        </w:rPr>
        <w:t>14.248,48</w:t>
      </w:r>
      <w:r w:rsidR="005071C9">
        <w:rPr>
          <w:rFonts w:ascii="Tahoma" w:hAnsi="Tahoma" w:cs="Tahoma"/>
        </w:rPr>
        <w:t>.</w:t>
      </w:r>
    </w:p>
    <w:p w:rsidR="00E03F1A" w:rsidRPr="00E03F1A" w:rsidRDefault="00E03F1A" w:rsidP="005673A5">
      <w:pPr>
        <w:pStyle w:val="a7"/>
        <w:numPr>
          <w:ilvl w:val="0"/>
          <w:numId w:val="16"/>
        </w:numPr>
        <w:spacing w:line="276" w:lineRule="auto"/>
        <w:ind w:left="851" w:hanging="425"/>
        <w:rPr>
          <w:rFonts w:ascii="Tahoma" w:hAnsi="Tahoma" w:cs="Tahoma"/>
          <w:bCs/>
        </w:rPr>
      </w:pPr>
      <w:r>
        <w:rPr>
          <w:rFonts w:ascii="Tahoma" w:hAnsi="Tahoma" w:cs="Tahoma"/>
          <w:bCs/>
        </w:rPr>
        <w:t>Έ</w:t>
      </w:r>
      <w:r w:rsidRPr="00E03F1A">
        <w:rPr>
          <w:rFonts w:ascii="Tahoma" w:hAnsi="Tahoma" w:cs="Tahoma"/>
          <w:bCs/>
        </w:rPr>
        <w:t>πιπλα &amp; λοιπό εξοπλισμό</w:t>
      </w:r>
      <w:r w:rsidR="002945E9" w:rsidRPr="002945E9">
        <w:rPr>
          <w:rFonts w:ascii="Tahoma" w:hAnsi="Tahoma" w:cs="Tahoma"/>
          <w:bCs/>
        </w:rPr>
        <w:t xml:space="preserve"> </w:t>
      </w:r>
      <w:r w:rsidR="002945E9">
        <w:rPr>
          <w:rFonts w:ascii="Tahoma" w:hAnsi="Tahoma" w:cs="Tahoma"/>
          <w:bCs/>
        </w:rPr>
        <w:t xml:space="preserve">των οποίων η αξία κτήσεως </w:t>
      </w:r>
      <w:r w:rsidR="002945E9" w:rsidRPr="003D4413">
        <w:rPr>
          <w:rFonts w:ascii="Tahoma" w:hAnsi="Tahoma" w:cs="Tahoma"/>
        </w:rPr>
        <w:t>ανέρχεται σε</w:t>
      </w:r>
      <w:r w:rsidR="002945E9">
        <w:rPr>
          <w:rFonts w:ascii="Tahoma" w:hAnsi="Tahoma" w:cs="Tahoma"/>
        </w:rPr>
        <w:t xml:space="preserve"> ποσό ευρώ </w:t>
      </w:r>
      <w:r w:rsidR="00A32A71">
        <w:rPr>
          <w:rFonts w:ascii="Tahoma" w:hAnsi="Tahoma" w:cs="Tahoma"/>
        </w:rPr>
        <w:t>774.867,50</w:t>
      </w:r>
      <w:r w:rsidR="00127FC6">
        <w:rPr>
          <w:rFonts w:ascii="Tahoma" w:hAnsi="Tahoma" w:cs="Tahoma"/>
        </w:rPr>
        <w:t xml:space="preserve"> </w:t>
      </w:r>
      <w:r w:rsidR="002945E9">
        <w:rPr>
          <w:rFonts w:ascii="Tahoma" w:hAnsi="Tahoma" w:cs="Tahoma"/>
        </w:rPr>
        <w:t xml:space="preserve">ενώ η </w:t>
      </w:r>
      <w:proofErr w:type="spellStart"/>
      <w:r w:rsidR="002945E9">
        <w:rPr>
          <w:rFonts w:ascii="Tahoma" w:hAnsi="Tahoma" w:cs="Tahoma"/>
        </w:rPr>
        <w:t>αναπόσβεστη</w:t>
      </w:r>
      <w:proofErr w:type="spellEnd"/>
      <w:r w:rsidR="002945E9">
        <w:rPr>
          <w:rFonts w:ascii="Tahoma" w:hAnsi="Tahoma" w:cs="Tahoma"/>
        </w:rPr>
        <w:t xml:space="preserve"> </w:t>
      </w:r>
      <w:r w:rsidR="002945E9" w:rsidRPr="003D4413">
        <w:rPr>
          <w:rFonts w:ascii="Tahoma" w:hAnsi="Tahoma" w:cs="Tahoma"/>
        </w:rPr>
        <w:t xml:space="preserve">αξία ευρώ </w:t>
      </w:r>
      <w:r w:rsidR="002945E9">
        <w:rPr>
          <w:rFonts w:ascii="Tahoma" w:hAnsi="Tahoma" w:cs="Tahoma"/>
        </w:rPr>
        <w:t xml:space="preserve">αυτών στο ποσό ευρώ </w:t>
      </w:r>
      <w:r w:rsidR="00A32A71">
        <w:rPr>
          <w:rFonts w:ascii="Tahoma" w:hAnsi="Tahoma" w:cs="Tahoma"/>
        </w:rPr>
        <w:t>72.012,35</w:t>
      </w:r>
      <w:r w:rsidR="005071C9">
        <w:rPr>
          <w:rFonts w:ascii="Tahoma" w:hAnsi="Tahoma" w:cs="Tahoma"/>
        </w:rPr>
        <w:t>.</w:t>
      </w:r>
    </w:p>
    <w:p w:rsidR="002945E9" w:rsidRPr="008B521C" w:rsidRDefault="005673A5" w:rsidP="005673A5">
      <w:pPr>
        <w:numPr>
          <w:ilvl w:val="0"/>
          <w:numId w:val="1"/>
        </w:numPr>
        <w:tabs>
          <w:tab w:val="clear" w:pos="502"/>
        </w:tabs>
        <w:spacing w:line="276" w:lineRule="auto"/>
        <w:ind w:left="426" w:hanging="426"/>
        <w:rPr>
          <w:rFonts w:ascii="Tahoma" w:hAnsi="Tahoma" w:cs="Tahoma"/>
        </w:rPr>
      </w:pPr>
      <w:r>
        <w:rPr>
          <w:rFonts w:ascii="Tahoma" w:hAnsi="Tahoma" w:cs="Tahoma"/>
          <w:bCs/>
        </w:rPr>
        <w:t xml:space="preserve">Η </w:t>
      </w:r>
      <w:proofErr w:type="spellStart"/>
      <w:r>
        <w:rPr>
          <w:rFonts w:ascii="Tahoma" w:hAnsi="Tahoma" w:cs="Tahoma"/>
          <w:bCs/>
        </w:rPr>
        <w:t>αναπόσβεστη</w:t>
      </w:r>
      <w:proofErr w:type="spellEnd"/>
      <w:r>
        <w:rPr>
          <w:rFonts w:ascii="Tahoma" w:hAnsi="Tahoma" w:cs="Tahoma"/>
          <w:bCs/>
        </w:rPr>
        <w:t xml:space="preserve"> αξία λ</w:t>
      </w:r>
      <w:r w:rsidR="002945E9">
        <w:rPr>
          <w:rFonts w:ascii="Tahoma" w:hAnsi="Tahoma" w:cs="Tahoma"/>
          <w:bCs/>
        </w:rPr>
        <w:t xml:space="preserve">οιπών άυλων, ανέρχεται σε ποσό ευρώ </w:t>
      </w:r>
      <w:r w:rsidR="00A32A71">
        <w:rPr>
          <w:rFonts w:ascii="Tahoma" w:hAnsi="Tahoma" w:cs="Tahoma"/>
          <w:bCs/>
        </w:rPr>
        <w:t>34.780,13</w:t>
      </w:r>
      <w:r w:rsidR="002945E9">
        <w:rPr>
          <w:rFonts w:ascii="Tahoma" w:hAnsi="Tahoma" w:cs="Tahoma"/>
          <w:bCs/>
        </w:rPr>
        <w:t>, αναλύεται δε σε</w:t>
      </w:r>
      <w:r w:rsidR="002945E9" w:rsidRPr="00E03F1A">
        <w:rPr>
          <w:rFonts w:ascii="Tahoma" w:hAnsi="Tahoma" w:cs="Tahoma"/>
          <w:bCs/>
        </w:rPr>
        <w:t>:</w:t>
      </w:r>
      <w:r w:rsidR="002945E9">
        <w:rPr>
          <w:rFonts w:ascii="Tahoma" w:hAnsi="Tahoma" w:cs="Tahoma"/>
          <w:bCs/>
        </w:rPr>
        <w:t xml:space="preserve"> </w:t>
      </w:r>
      <w:r w:rsidR="002945E9" w:rsidRPr="002945E9">
        <w:rPr>
          <w:rFonts w:ascii="Tahoma" w:hAnsi="Tahoma" w:cs="Tahoma"/>
          <w:bCs/>
        </w:rPr>
        <w:t>αξία κτήσεως ποσ</w:t>
      </w:r>
      <w:r w:rsidR="002945E9">
        <w:rPr>
          <w:rFonts w:ascii="Tahoma" w:hAnsi="Tahoma" w:cs="Tahoma"/>
          <w:bCs/>
        </w:rPr>
        <w:t>ού</w:t>
      </w:r>
      <w:r w:rsidR="002945E9" w:rsidRPr="002945E9">
        <w:rPr>
          <w:rFonts w:ascii="Tahoma" w:hAnsi="Tahoma" w:cs="Tahoma"/>
          <w:bCs/>
        </w:rPr>
        <w:t xml:space="preserve"> ευρώ </w:t>
      </w:r>
      <w:r w:rsidR="00A7055E">
        <w:rPr>
          <w:rFonts w:ascii="Tahoma" w:hAnsi="Tahoma" w:cs="Tahoma"/>
          <w:bCs/>
        </w:rPr>
        <w:t>112.948,46</w:t>
      </w:r>
      <w:r w:rsidR="002945E9" w:rsidRPr="008B521C">
        <w:rPr>
          <w:rFonts w:ascii="Tahoma" w:hAnsi="Tahoma" w:cs="Tahoma"/>
        </w:rPr>
        <w:t xml:space="preserve"> μείον συσσωρευμένες αποσβέσεις ποσού ευρώ </w:t>
      </w:r>
      <w:r w:rsidR="00A32A71">
        <w:rPr>
          <w:rFonts w:ascii="Tahoma" w:hAnsi="Tahoma" w:cs="Tahoma"/>
        </w:rPr>
        <w:t>78.168,33</w:t>
      </w:r>
      <w:r w:rsidR="00A7055E">
        <w:rPr>
          <w:rFonts w:ascii="Tahoma" w:hAnsi="Tahoma" w:cs="Tahoma"/>
        </w:rPr>
        <w:t>.</w:t>
      </w:r>
    </w:p>
    <w:p w:rsidR="00FB309D" w:rsidRPr="00F154D8" w:rsidRDefault="00FB309D" w:rsidP="000E5DBD">
      <w:pPr>
        <w:spacing w:line="276" w:lineRule="auto"/>
        <w:rPr>
          <w:rFonts w:ascii="Tahoma" w:hAnsi="Tahoma" w:cs="Tahoma"/>
        </w:rPr>
      </w:pPr>
    </w:p>
    <w:p w:rsidR="00206011" w:rsidRPr="00BA12B8" w:rsidRDefault="00BA12B8" w:rsidP="00BA12B8">
      <w:pPr>
        <w:pStyle w:val="7"/>
        <w:rPr>
          <w:rFonts w:ascii="Tahoma" w:hAnsi="Tahoma" w:cs="Tahoma"/>
          <w:b/>
          <w:i w:val="0"/>
          <w:iCs w:val="0"/>
        </w:rPr>
      </w:pPr>
      <w:r w:rsidRPr="00BA12B8">
        <w:rPr>
          <w:rFonts w:ascii="Tahoma" w:hAnsi="Tahoma" w:cs="Tahoma"/>
          <w:b/>
          <w:i w:val="0"/>
          <w:iCs w:val="0"/>
        </w:rPr>
        <w:t>2.2.</w:t>
      </w:r>
      <w:r>
        <w:rPr>
          <w:rFonts w:ascii="Tahoma" w:hAnsi="Tahoma" w:cs="Tahoma"/>
          <w:b/>
          <w:i w:val="0"/>
          <w:iCs w:val="0"/>
        </w:rPr>
        <w:tab/>
      </w:r>
      <w:proofErr w:type="spellStart"/>
      <w:r w:rsidR="00876AFD">
        <w:rPr>
          <w:rFonts w:ascii="Tahoma" w:hAnsi="Tahoma" w:cs="Tahoma"/>
          <w:b/>
          <w:i w:val="0"/>
          <w:iCs w:val="0"/>
        </w:rPr>
        <w:t>Κ</w:t>
      </w:r>
      <w:r w:rsidR="00876AFD" w:rsidRPr="00BA12B8">
        <w:rPr>
          <w:rFonts w:ascii="Tahoma" w:hAnsi="Tahoma" w:cs="Tahoma"/>
          <w:b/>
          <w:i w:val="0"/>
          <w:iCs w:val="0"/>
        </w:rPr>
        <w:t>υκλοφορούντα</w:t>
      </w:r>
      <w:proofErr w:type="spellEnd"/>
      <w:r w:rsidRPr="00BA12B8">
        <w:rPr>
          <w:rFonts w:ascii="Tahoma" w:hAnsi="Tahoma" w:cs="Tahoma"/>
          <w:b/>
          <w:i w:val="0"/>
          <w:iCs w:val="0"/>
        </w:rPr>
        <w:t xml:space="preserve"> περιουσιακά στοιχεία</w:t>
      </w:r>
    </w:p>
    <w:p w:rsidR="00206011" w:rsidRPr="00F154D8" w:rsidRDefault="00206011" w:rsidP="00F136DB">
      <w:pPr>
        <w:spacing w:line="276" w:lineRule="auto"/>
        <w:rPr>
          <w:rFonts w:ascii="Tahoma" w:hAnsi="Tahoma" w:cs="Tahoma"/>
        </w:rPr>
      </w:pPr>
    </w:p>
    <w:p w:rsidR="00206011" w:rsidRPr="00F154D8" w:rsidRDefault="00206011" w:rsidP="005673A5">
      <w:pPr>
        <w:spacing w:line="276" w:lineRule="auto"/>
        <w:rPr>
          <w:rFonts w:ascii="Tahoma" w:hAnsi="Tahoma" w:cs="Tahoma"/>
        </w:rPr>
      </w:pPr>
      <w:r w:rsidRPr="00F154D8">
        <w:rPr>
          <w:rFonts w:ascii="Tahoma" w:hAnsi="Tahoma" w:cs="Tahoma"/>
        </w:rPr>
        <w:t xml:space="preserve">Για τα δεδομένα </w:t>
      </w:r>
      <w:r w:rsidR="002945E9">
        <w:rPr>
          <w:rFonts w:ascii="Tahoma" w:hAnsi="Tahoma" w:cs="Tahoma"/>
        </w:rPr>
        <w:t xml:space="preserve">των </w:t>
      </w:r>
      <w:proofErr w:type="spellStart"/>
      <w:r w:rsidR="002945E9">
        <w:rPr>
          <w:rFonts w:ascii="Tahoma" w:hAnsi="Tahoma" w:cs="Tahoma"/>
        </w:rPr>
        <w:t>Κυκλοφορούντων</w:t>
      </w:r>
      <w:proofErr w:type="spellEnd"/>
      <w:r w:rsidR="002945E9">
        <w:rPr>
          <w:rFonts w:ascii="Tahoma" w:hAnsi="Tahoma" w:cs="Tahoma"/>
        </w:rPr>
        <w:t xml:space="preserve"> περιουσιακών στοιχείων</w:t>
      </w:r>
      <w:r w:rsidRPr="00F154D8">
        <w:rPr>
          <w:rFonts w:ascii="Tahoma" w:hAnsi="Tahoma" w:cs="Tahoma"/>
        </w:rPr>
        <w:t xml:space="preserve"> έχουμε να σημειώσουμε τα εξής: </w:t>
      </w:r>
    </w:p>
    <w:p w:rsidR="00206011" w:rsidRDefault="00206011" w:rsidP="005673A5">
      <w:pPr>
        <w:numPr>
          <w:ilvl w:val="0"/>
          <w:numId w:val="2"/>
        </w:numPr>
        <w:tabs>
          <w:tab w:val="clear" w:pos="360"/>
        </w:tabs>
        <w:spacing w:line="276" w:lineRule="auto"/>
        <w:ind w:left="426" w:hanging="426"/>
        <w:rPr>
          <w:rFonts w:ascii="Tahoma" w:hAnsi="Tahoma" w:cs="Tahoma"/>
        </w:rPr>
      </w:pPr>
      <w:r w:rsidRPr="00F154D8">
        <w:rPr>
          <w:rFonts w:ascii="Tahoma" w:hAnsi="Tahoma" w:cs="Tahoma"/>
        </w:rPr>
        <w:t>Τα αποθέματα που εμφανίζονται στον Ισολογισμό</w:t>
      </w:r>
      <w:r w:rsidR="005B5EA6">
        <w:rPr>
          <w:rFonts w:ascii="Tahoma" w:hAnsi="Tahoma" w:cs="Tahoma"/>
        </w:rPr>
        <w:t xml:space="preserve"> με το</w:t>
      </w:r>
      <w:r w:rsidRPr="00F154D8">
        <w:rPr>
          <w:rFonts w:ascii="Tahoma" w:hAnsi="Tahoma" w:cs="Tahoma"/>
        </w:rPr>
        <w:t xml:space="preserve"> </w:t>
      </w:r>
      <w:r w:rsidR="005B5EA6">
        <w:rPr>
          <w:rFonts w:ascii="Tahoma" w:hAnsi="Tahoma" w:cs="Tahoma"/>
        </w:rPr>
        <w:t>ποσό των</w:t>
      </w:r>
      <w:r w:rsidR="003D4413">
        <w:rPr>
          <w:rFonts w:ascii="Tahoma" w:hAnsi="Tahoma" w:cs="Tahoma"/>
        </w:rPr>
        <w:t xml:space="preserve"> ευρώ </w:t>
      </w:r>
      <w:r w:rsidR="00A32A71">
        <w:rPr>
          <w:rFonts w:ascii="Tahoma" w:hAnsi="Tahoma" w:cs="Tahoma"/>
        </w:rPr>
        <w:t>995.826,89</w:t>
      </w:r>
      <w:r w:rsidR="00D74744">
        <w:rPr>
          <w:rFonts w:ascii="Tahoma" w:hAnsi="Tahoma" w:cs="Tahoma"/>
        </w:rPr>
        <w:t>, αφορούν</w:t>
      </w:r>
      <w:r w:rsidR="003D4413">
        <w:rPr>
          <w:rFonts w:ascii="Tahoma" w:hAnsi="Tahoma" w:cs="Tahoma"/>
        </w:rPr>
        <w:t xml:space="preserve"> εμπορεύματα</w:t>
      </w:r>
      <w:r w:rsidR="00FB309D">
        <w:rPr>
          <w:rFonts w:ascii="Tahoma" w:hAnsi="Tahoma" w:cs="Tahoma"/>
        </w:rPr>
        <w:t xml:space="preserve"> αξίας ευρώ </w:t>
      </w:r>
      <w:r w:rsidR="00A32A71">
        <w:rPr>
          <w:rFonts w:ascii="Tahoma" w:hAnsi="Tahoma" w:cs="Tahoma"/>
        </w:rPr>
        <w:t xml:space="preserve">107.391,98 και </w:t>
      </w:r>
      <w:r w:rsidR="008365E6">
        <w:rPr>
          <w:rFonts w:ascii="Tahoma" w:hAnsi="Tahoma" w:cs="Tahoma"/>
        </w:rPr>
        <w:t xml:space="preserve">έτοιμα και ημιτελή προϊόντα αξίας ευρώ </w:t>
      </w:r>
      <w:r w:rsidR="00A32A71">
        <w:rPr>
          <w:rFonts w:ascii="Tahoma" w:hAnsi="Tahoma" w:cs="Tahoma"/>
        </w:rPr>
        <w:t>888.434,91</w:t>
      </w:r>
      <w:r w:rsidR="008365E6">
        <w:rPr>
          <w:rFonts w:ascii="Tahoma" w:hAnsi="Tahoma" w:cs="Tahoma"/>
        </w:rPr>
        <w:t xml:space="preserve"> </w:t>
      </w:r>
      <w:r w:rsidRPr="00F154D8">
        <w:rPr>
          <w:rFonts w:ascii="Tahoma" w:hAnsi="Tahoma" w:cs="Tahoma"/>
        </w:rPr>
        <w:t>που προέκυψαν από την διενεργηθείσα φυσική απογραφή κατά την 31/12/20</w:t>
      </w:r>
      <w:r w:rsidR="001B75AF">
        <w:rPr>
          <w:rFonts w:ascii="Tahoma" w:hAnsi="Tahoma" w:cs="Tahoma"/>
        </w:rPr>
        <w:t>1</w:t>
      </w:r>
      <w:r w:rsidR="00A32A71">
        <w:rPr>
          <w:rFonts w:ascii="Tahoma" w:hAnsi="Tahoma" w:cs="Tahoma"/>
        </w:rPr>
        <w:t>8</w:t>
      </w:r>
      <w:r w:rsidR="003D4413">
        <w:rPr>
          <w:rFonts w:ascii="Tahoma" w:hAnsi="Tahoma" w:cs="Tahoma"/>
        </w:rPr>
        <w:t xml:space="preserve"> </w:t>
      </w:r>
      <w:r w:rsidR="003D4413" w:rsidRPr="00D94125">
        <w:rPr>
          <w:rFonts w:ascii="Tahoma" w:hAnsi="Tahoma" w:cs="Tahoma"/>
        </w:rPr>
        <w:t xml:space="preserve">και </w:t>
      </w:r>
      <w:r w:rsidRPr="00D94125">
        <w:rPr>
          <w:rFonts w:ascii="Tahoma" w:hAnsi="Tahoma" w:cs="Tahoma"/>
        </w:rPr>
        <w:t>είναι ικανά να εξυπηρετήσουν τις ανάγκες των πελατών.</w:t>
      </w:r>
      <w:r w:rsidR="005E2031">
        <w:rPr>
          <w:rFonts w:ascii="Tahoma" w:hAnsi="Tahoma" w:cs="Tahoma"/>
        </w:rPr>
        <w:t xml:space="preserve"> </w:t>
      </w:r>
    </w:p>
    <w:p w:rsidR="00206011" w:rsidRDefault="00206011" w:rsidP="005673A5">
      <w:pPr>
        <w:numPr>
          <w:ilvl w:val="0"/>
          <w:numId w:val="2"/>
        </w:numPr>
        <w:tabs>
          <w:tab w:val="clear" w:pos="360"/>
        </w:tabs>
        <w:spacing w:line="276" w:lineRule="auto"/>
        <w:ind w:left="426" w:hanging="426"/>
        <w:rPr>
          <w:rFonts w:ascii="Tahoma" w:hAnsi="Tahoma" w:cs="Tahoma"/>
        </w:rPr>
      </w:pPr>
      <w:r w:rsidRPr="00F154D8">
        <w:rPr>
          <w:rFonts w:ascii="Tahoma" w:hAnsi="Tahoma" w:cs="Tahoma"/>
        </w:rPr>
        <w:t xml:space="preserve">Οι </w:t>
      </w:r>
      <w:r w:rsidR="005673A5">
        <w:rPr>
          <w:rFonts w:ascii="Tahoma" w:hAnsi="Tahoma" w:cs="Tahoma"/>
        </w:rPr>
        <w:t>ε</w:t>
      </w:r>
      <w:r w:rsidR="00146D36">
        <w:rPr>
          <w:rFonts w:ascii="Tahoma" w:hAnsi="Tahoma" w:cs="Tahoma"/>
        </w:rPr>
        <w:t xml:space="preserve">μπορικές </w:t>
      </w:r>
      <w:r w:rsidRPr="00F154D8">
        <w:rPr>
          <w:rFonts w:ascii="Tahoma" w:hAnsi="Tahoma" w:cs="Tahoma"/>
        </w:rPr>
        <w:t xml:space="preserve">απαιτήσεις που ανέρχονται στο ποσό των ευρώ </w:t>
      </w:r>
      <w:r w:rsidR="00A32A71">
        <w:rPr>
          <w:rFonts w:ascii="Tahoma" w:hAnsi="Tahoma" w:cs="Tahoma"/>
        </w:rPr>
        <w:t>697.233,18</w:t>
      </w:r>
      <w:r w:rsidR="0066135A">
        <w:rPr>
          <w:rFonts w:ascii="Tahoma" w:hAnsi="Tahoma" w:cs="Tahoma"/>
        </w:rPr>
        <w:t xml:space="preserve"> </w:t>
      </w:r>
      <w:r w:rsidRPr="003D4413">
        <w:rPr>
          <w:rFonts w:ascii="Tahoma" w:hAnsi="Tahoma" w:cs="Tahoma"/>
        </w:rPr>
        <w:t>είναι από τις τρέχουσες συναλλαγές της εταιρείας</w:t>
      </w:r>
      <w:r w:rsidR="00FB309D">
        <w:rPr>
          <w:rFonts w:ascii="Tahoma" w:hAnsi="Tahoma" w:cs="Tahoma"/>
        </w:rPr>
        <w:t xml:space="preserve"> και είναι ασφαλούς εισπράξεως</w:t>
      </w:r>
      <w:r w:rsidRPr="003D4413">
        <w:rPr>
          <w:rFonts w:ascii="Tahoma" w:hAnsi="Tahoma" w:cs="Tahoma"/>
        </w:rPr>
        <w:t>.</w:t>
      </w:r>
    </w:p>
    <w:p w:rsidR="00146D36" w:rsidRDefault="00146D36" w:rsidP="005673A5">
      <w:pPr>
        <w:numPr>
          <w:ilvl w:val="0"/>
          <w:numId w:val="2"/>
        </w:numPr>
        <w:tabs>
          <w:tab w:val="clear" w:pos="360"/>
        </w:tabs>
        <w:spacing w:line="276" w:lineRule="auto"/>
        <w:ind w:left="426" w:hanging="426"/>
        <w:rPr>
          <w:rFonts w:ascii="Tahoma" w:hAnsi="Tahoma" w:cs="Tahoma"/>
        </w:rPr>
      </w:pPr>
      <w:r w:rsidRPr="00F154D8">
        <w:rPr>
          <w:rFonts w:ascii="Tahoma" w:hAnsi="Tahoma" w:cs="Tahoma"/>
        </w:rPr>
        <w:t xml:space="preserve">Οι </w:t>
      </w:r>
      <w:r w:rsidR="005673A5">
        <w:rPr>
          <w:rFonts w:ascii="Tahoma" w:hAnsi="Tahoma" w:cs="Tahoma"/>
        </w:rPr>
        <w:t>λ</w:t>
      </w:r>
      <w:r>
        <w:rPr>
          <w:rFonts w:ascii="Tahoma" w:hAnsi="Tahoma" w:cs="Tahoma"/>
        </w:rPr>
        <w:t xml:space="preserve">οιπές </w:t>
      </w:r>
      <w:r w:rsidR="00FB309D">
        <w:rPr>
          <w:rFonts w:ascii="Tahoma" w:hAnsi="Tahoma" w:cs="Tahoma"/>
        </w:rPr>
        <w:t>απαιτήσεις</w:t>
      </w:r>
      <w:r w:rsidRPr="00F154D8">
        <w:rPr>
          <w:rFonts w:ascii="Tahoma" w:hAnsi="Tahoma" w:cs="Tahoma"/>
        </w:rPr>
        <w:t xml:space="preserve"> ανέρχονται στο ποσό των ευρώ </w:t>
      </w:r>
      <w:r w:rsidR="00A32A71">
        <w:rPr>
          <w:rFonts w:ascii="Tahoma" w:hAnsi="Tahoma" w:cs="Tahoma"/>
        </w:rPr>
        <w:t>213.205,37</w:t>
      </w:r>
      <w:r w:rsidR="00C3064F">
        <w:rPr>
          <w:rFonts w:ascii="Tahoma" w:hAnsi="Tahoma" w:cs="Tahoma"/>
        </w:rPr>
        <w:t>.</w:t>
      </w:r>
    </w:p>
    <w:p w:rsidR="00146D36" w:rsidRPr="003D4413" w:rsidRDefault="00146D36" w:rsidP="005673A5">
      <w:pPr>
        <w:numPr>
          <w:ilvl w:val="0"/>
          <w:numId w:val="2"/>
        </w:numPr>
        <w:tabs>
          <w:tab w:val="clear" w:pos="360"/>
        </w:tabs>
        <w:spacing w:line="276" w:lineRule="auto"/>
        <w:ind w:left="426" w:hanging="426"/>
        <w:rPr>
          <w:rFonts w:ascii="Tahoma" w:hAnsi="Tahoma" w:cs="Tahoma"/>
        </w:rPr>
      </w:pPr>
      <w:r w:rsidRPr="00F154D8">
        <w:rPr>
          <w:rFonts w:ascii="Tahoma" w:hAnsi="Tahoma" w:cs="Tahoma"/>
        </w:rPr>
        <w:t xml:space="preserve">Τα </w:t>
      </w:r>
      <w:r w:rsidR="005673A5">
        <w:rPr>
          <w:rFonts w:ascii="Tahoma" w:hAnsi="Tahoma" w:cs="Tahoma"/>
        </w:rPr>
        <w:t>π</w:t>
      </w:r>
      <w:r>
        <w:rPr>
          <w:rFonts w:ascii="Tahoma" w:hAnsi="Tahoma" w:cs="Tahoma"/>
        </w:rPr>
        <w:t xml:space="preserve">ροπληρωμένα έξοδα </w:t>
      </w:r>
      <w:r w:rsidRPr="00F154D8">
        <w:rPr>
          <w:rFonts w:ascii="Tahoma" w:hAnsi="Tahoma" w:cs="Tahoma"/>
        </w:rPr>
        <w:t>την 31/12/20</w:t>
      </w:r>
      <w:r w:rsidR="00C3064F">
        <w:rPr>
          <w:rFonts w:ascii="Tahoma" w:hAnsi="Tahoma" w:cs="Tahoma"/>
        </w:rPr>
        <w:t>1</w:t>
      </w:r>
      <w:r w:rsidR="00A32A71">
        <w:rPr>
          <w:rFonts w:ascii="Tahoma" w:hAnsi="Tahoma" w:cs="Tahoma"/>
        </w:rPr>
        <w:t>8</w:t>
      </w:r>
      <w:r w:rsidRPr="00F154D8">
        <w:rPr>
          <w:rFonts w:ascii="Tahoma" w:hAnsi="Tahoma" w:cs="Tahoma"/>
        </w:rPr>
        <w:t xml:space="preserve"> ανέρχονταν στο ποσό ευρώ </w:t>
      </w:r>
      <w:r w:rsidR="00A32A71">
        <w:rPr>
          <w:rFonts w:ascii="Tahoma" w:hAnsi="Tahoma" w:cs="Tahoma"/>
        </w:rPr>
        <w:t>16.055,57.</w:t>
      </w:r>
    </w:p>
    <w:p w:rsidR="001B75AF" w:rsidRDefault="00206011" w:rsidP="005673A5">
      <w:pPr>
        <w:numPr>
          <w:ilvl w:val="0"/>
          <w:numId w:val="2"/>
        </w:numPr>
        <w:tabs>
          <w:tab w:val="clear" w:pos="360"/>
        </w:tabs>
        <w:spacing w:line="276" w:lineRule="auto"/>
        <w:ind w:left="426" w:hanging="426"/>
        <w:rPr>
          <w:rFonts w:ascii="Tahoma" w:hAnsi="Tahoma" w:cs="Tahoma"/>
        </w:rPr>
      </w:pPr>
      <w:r w:rsidRPr="00F154D8">
        <w:rPr>
          <w:rFonts w:ascii="Tahoma" w:hAnsi="Tahoma" w:cs="Tahoma"/>
        </w:rPr>
        <w:t xml:space="preserve">Τα </w:t>
      </w:r>
      <w:r w:rsidR="005673A5">
        <w:rPr>
          <w:rFonts w:ascii="Tahoma" w:hAnsi="Tahoma" w:cs="Tahoma"/>
        </w:rPr>
        <w:t>τ</w:t>
      </w:r>
      <w:r w:rsidR="00146D36">
        <w:rPr>
          <w:rFonts w:ascii="Tahoma" w:hAnsi="Tahoma" w:cs="Tahoma"/>
        </w:rPr>
        <w:t xml:space="preserve">αμειακά </w:t>
      </w:r>
      <w:r w:rsidRPr="00F154D8">
        <w:rPr>
          <w:rFonts w:ascii="Tahoma" w:hAnsi="Tahoma" w:cs="Tahoma"/>
        </w:rPr>
        <w:t xml:space="preserve">διαθέσιμα </w:t>
      </w:r>
      <w:r w:rsidR="00146D36">
        <w:rPr>
          <w:rFonts w:ascii="Tahoma" w:hAnsi="Tahoma" w:cs="Tahoma"/>
        </w:rPr>
        <w:t xml:space="preserve">&amp; ισοδύναμα </w:t>
      </w:r>
      <w:r w:rsidRPr="00F154D8">
        <w:rPr>
          <w:rFonts w:ascii="Tahoma" w:hAnsi="Tahoma" w:cs="Tahoma"/>
        </w:rPr>
        <w:t>την 31/12/20</w:t>
      </w:r>
      <w:r w:rsidR="0066135A">
        <w:rPr>
          <w:rFonts w:ascii="Tahoma" w:hAnsi="Tahoma" w:cs="Tahoma"/>
        </w:rPr>
        <w:t>1</w:t>
      </w:r>
      <w:r w:rsidR="00A32A71">
        <w:rPr>
          <w:rFonts w:ascii="Tahoma" w:hAnsi="Tahoma" w:cs="Tahoma"/>
        </w:rPr>
        <w:t>8</w:t>
      </w:r>
      <w:r w:rsidRPr="00F154D8">
        <w:rPr>
          <w:rFonts w:ascii="Tahoma" w:hAnsi="Tahoma" w:cs="Tahoma"/>
        </w:rPr>
        <w:t xml:space="preserve"> ανέρχονταν στο ποσό ευρώ </w:t>
      </w:r>
      <w:r w:rsidR="00A32A71">
        <w:rPr>
          <w:rFonts w:ascii="Tahoma" w:hAnsi="Tahoma" w:cs="Tahoma"/>
        </w:rPr>
        <w:t>395.616,07</w:t>
      </w:r>
      <w:r w:rsidR="00F531F7">
        <w:rPr>
          <w:rFonts w:ascii="Tahoma" w:hAnsi="Tahoma" w:cs="Tahoma"/>
        </w:rPr>
        <w:t xml:space="preserve"> </w:t>
      </w:r>
      <w:r w:rsidRPr="003D4413">
        <w:rPr>
          <w:rFonts w:ascii="Tahoma" w:hAnsi="Tahoma" w:cs="Tahoma"/>
        </w:rPr>
        <w:t>και καλύπτουν τις ανάγκες της εταιρείας.</w:t>
      </w:r>
    </w:p>
    <w:p w:rsidR="00933CF9" w:rsidRPr="00F154D8" w:rsidRDefault="00933CF9" w:rsidP="00F136DB">
      <w:pPr>
        <w:spacing w:line="276" w:lineRule="auto"/>
        <w:rPr>
          <w:rFonts w:ascii="Tahoma" w:hAnsi="Tahoma" w:cs="Tahoma"/>
        </w:rPr>
      </w:pPr>
    </w:p>
    <w:p w:rsidR="00206011" w:rsidRPr="00BA12B8" w:rsidRDefault="00BA12B8" w:rsidP="00F136DB">
      <w:pPr>
        <w:pStyle w:val="1"/>
        <w:spacing w:line="276" w:lineRule="auto"/>
        <w:rPr>
          <w:rFonts w:ascii="Tahoma" w:eastAsiaTheme="majorEastAsia" w:hAnsi="Tahoma" w:cs="Tahoma"/>
          <w:bCs w:val="0"/>
          <w:color w:val="243F60" w:themeColor="accent1" w:themeShade="7F"/>
          <w:sz w:val="20"/>
          <w:szCs w:val="20"/>
          <w:lang w:val="en-US"/>
        </w:rPr>
      </w:pPr>
      <w:r w:rsidRPr="00BA12B8">
        <w:rPr>
          <w:rFonts w:ascii="Tahoma" w:eastAsiaTheme="majorEastAsia" w:hAnsi="Tahoma" w:cs="Tahoma"/>
          <w:bCs w:val="0"/>
          <w:color w:val="243F60" w:themeColor="accent1" w:themeShade="7F"/>
          <w:sz w:val="20"/>
          <w:szCs w:val="20"/>
          <w:lang w:val="en-US"/>
        </w:rPr>
        <w:t>2</w:t>
      </w:r>
      <w:r w:rsidR="00131C1D" w:rsidRPr="00BA12B8">
        <w:rPr>
          <w:rFonts w:ascii="Tahoma" w:eastAsiaTheme="majorEastAsia" w:hAnsi="Tahoma" w:cs="Tahoma"/>
          <w:bCs w:val="0"/>
          <w:color w:val="243F60" w:themeColor="accent1" w:themeShade="7F"/>
          <w:sz w:val="20"/>
          <w:szCs w:val="20"/>
          <w:lang w:val="en-US"/>
        </w:rPr>
        <w:t>.3</w:t>
      </w:r>
      <w:r w:rsidRPr="00BA12B8">
        <w:rPr>
          <w:rFonts w:ascii="Tahoma" w:eastAsiaTheme="majorEastAsia" w:hAnsi="Tahoma" w:cs="Tahoma"/>
          <w:bCs w:val="0"/>
          <w:color w:val="243F60" w:themeColor="accent1" w:themeShade="7F"/>
          <w:sz w:val="20"/>
          <w:szCs w:val="20"/>
          <w:lang w:val="en-US"/>
        </w:rPr>
        <w:t>.</w:t>
      </w:r>
      <w:r w:rsidRPr="00BA12B8">
        <w:rPr>
          <w:rFonts w:ascii="Tahoma" w:eastAsiaTheme="majorEastAsia" w:hAnsi="Tahoma" w:cs="Tahoma"/>
          <w:bCs w:val="0"/>
          <w:color w:val="243F60" w:themeColor="accent1" w:themeShade="7F"/>
          <w:sz w:val="20"/>
          <w:szCs w:val="20"/>
          <w:lang w:val="en-US"/>
        </w:rPr>
        <w:tab/>
      </w:r>
      <w:proofErr w:type="spellStart"/>
      <w:r w:rsidRPr="00BA12B8">
        <w:rPr>
          <w:rFonts w:ascii="Tahoma" w:eastAsiaTheme="majorEastAsia" w:hAnsi="Tahoma" w:cs="Tahoma"/>
          <w:bCs w:val="0"/>
          <w:color w:val="243F60" w:themeColor="accent1" w:themeShade="7F"/>
          <w:sz w:val="20"/>
          <w:szCs w:val="20"/>
          <w:lang w:val="en-US"/>
        </w:rPr>
        <w:t>Γι</w:t>
      </w:r>
      <w:proofErr w:type="spellEnd"/>
      <w:r w:rsidRPr="00BA12B8">
        <w:rPr>
          <w:rFonts w:ascii="Tahoma" w:eastAsiaTheme="majorEastAsia" w:hAnsi="Tahoma" w:cs="Tahoma"/>
          <w:bCs w:val="0"/>
          <w:color w:val="243F60" w:themeColor="accent1" w:themeShade="7F"/>
          <w:sz w:val="20"/>
          <w:szCs w:val="20"/>
          <w:lang w:val="en-US"/>
        </w:rPr>
        <w:t xml:space="preserve">α </w:t>
      </w:r>
      <w:proofErr w:type="spellStart"/>
      <w:r w:rsidRPr="00BA12B8">
        <w:rPr>
          <w:rFonts w:ascii="Tahoma" w:eastAsiaTheme="majorEastAsia" w:hAnsi="Tahoma" w:cs="Tahoma"/>
          <w:bCs w:val="0"/>
          <w:color w:val="243F60" w:themeColor="accent1" w:themeShade="7F"/>
          <w:sz w:val="20"/>
          <w:szCs w:val="20"/>
          <w:lang w:val="en-US"/>
        </w:rPr>
        <w:t>τους</w:t>
      </w:r>
      <w:proofErr w:type="spellEnd"/>
      <w:r w:rsidRPr="00BA12B8">
        <w:rPr>
          <w:rFonts w:ascii="Tahoma" w:eastAsiaTheme="majorEastAsia" w:hAnsi="Tahoma" w:cs="Tahoma"/>
          <w:bCs w:val="0"/>
          <w:color w:val="243F60" w:themeColor="accent1" w:themeShade="7F"/>
          <w:sz w:val="20"/>
          <w:szCs w:val="20"/>
          <w:lang w:val="en-US"/>
        </w:rPr>
        <w:t xml:space="preserve"> </w:t>
      </w:r>
      <w:proofErr w:type="spellStart"/>
      <w:r w:rsidRPr="00BA12B8">
        <w:rPr>
          <w:rFonts w:ascii="Tahoma" w:eastAsiaTheme="majorEastAsia" w:hAnsi="Tahoma" w:cs="Tahoma"/>
          <w:bCs w:val="0"/>
          <w:color w:val="243F60" w:themeColor="accent1" w:themeShade="7F"/>
          <w:sz w:val="20"/>
          <w:szCs w:val="20"/>
          <w:lang w:val="en-US"/>
        </w:rPr>
        <w:t>λογ</w:t>
      </w:r>
      <w:proofErr w:type="spellEnd"/>
      <w:r w:rsidRPr="00BA12B8">
        <w:rPr>
          <w:rFonts w:ascii="Tahoma" w:eastAsiaTheme="majorEastAsia" w:hAnsi="Tahoma" w:cs="Tahoma"/>
          <w:bCs w:val="0"/>
          <w:color w:val="243F60" w:themeColor="accent1" w:themeShade="7F"/>
          <w:sz w:val="20"/>
          <w:szCs w:val="20"/>
          <w:lang w:val="en-US"/>
        </w:rPr>
        <w:t xml:space="preserve">αριασμούς </w:t>
      </w:r>
      <w:proofErr w:type="spellStart"/>
      <w:r w:rsidRPr="00BA12B8">
        <w:rPr>
          <w:rFonts w:ascii="Tahoma" w:eastAsiaTheme="majorEastAsia" w:hAnsi="Tahoma" w:cs="Tahoma"/>
          <w:bCs w:val="0"/>
          <w:color w:val="243F60" w:themeColor="accent1" w:themeShade="7F"/>
          <w:sz w:val="20"/>
          <w:szCs w:val="20"/>
          <w:lang w:val="en-US"/>
        </w:rPr>
        <w:t>του</w:t>
      </w:r>
      <w:proofErr w:type="spellEnd"/>
      <w:r w:rsidRPr="00BA12B8">
        <w:rPr>
          <w:rFonts w:ascii="Tahoma" w:eastAsiaTheme="majorEastAsia" w:hAnsi="Tahoma" w:cs="Tahoma"/>
          <w:bCs w:val="0"/>
          <w:color w:val="243F60" w:themeColor="accent1" w:themeShade="7F"/>
          <w:sz w:val="20"/>
          <w:szCs w:val="20"/>
          <w:lang w:val="en-US"/>
        </w:rPr>
        <w:t xml:space="preserve"> πα</w:t>
      </w:r>
      <w:proofErr w:type="spellStart"/>
      <w:r w:rsidRPr="00BA12B8">
        <w:rPr>
          <w:rFonts w:ascii="Tahoma" w:eastAsiaTheme="majorEastAsia" w:hAnsi="Tahoma" w:cs="Tahoma"/>
          <w:bCs w:val="0"/>
          <w:color w:val="243F60" w:themeColor="accent1" w:themeShade="7F"/>
          <w:sz w:val="20"/>
          <w:szCs w:val="20"/>
          <w:lang w:val="en-US"/>
        </w:rPr>
        <w:t>θητικού</w:t>
      </w:r>
      <w:proofErr w:type="spellEnd"/>
    </w:p>
    <w:p w:rsidR="00206011" w:rsidRPr="00F154D8" w:rsidRDefault="00206011" w:rsidP="00F136DB">
      <w:pPr>
        <w:spacing w:line="276" w:lineRule="auto"/>
        <w:rPr>
          <w:rFonts w:ascii="Tahoma" w:hAnsi="Tahoma" w:cs="Tahoma"/>
        </w:rPr>
      </w:pPr>
    </w:p>
    <w:p w:rsidR="00206011" w:rsidRDefault="00206011" w:rsidP="005673A5">
      <w:pPr>
        <w:numPr>
          <w:ilvl w:val="0"/>
          <w:numId w:val="3"/>
        </w:numPr>
        <w:tabs>
          <w:tab w:val="clear" w:pos="644"/>
        </w:tabs>
        <w:spacing w:line="276" w:lineRule="auto"/>
        <w:ind w:left="426" w:hanging="426"/>
        <w:rPr>
          <w:rFonts w:ascii="Tahoma" w:hAnsi="Tahoma" w:cs="Tahoma"/>
        </w:rPr>
      </w:pPr>
      <w:r w:rsidRPr="00F154D8">
        <w:rPr>
          <w:rFonts w:ascii="Tahoma" w:hAnsi="Tahoma" w:cs="Tahoma"/>
        </w:rPr>
        <w:t>Τα Ίδια Κεφάλαια της εταιρεί</w:t>
      </w:r>
      <w:r w:rsidR="00131C1D">
        <w:rPr>
          <w:rFonts w:ascii="Tahoma" w:hAnsi="Tahoma" w:cs="Tahoma"/>
        </w:rPr>
        <w:t>ας ανέρχον</w:t>
      </w:r>
      <w:r w:rsidR="00665AF3">
        <w:rPr>
          <w:rFonts w:ascii="Tahoma" w:hAnsi="Tahoma" w:cs="Tahoma"/>
        </w:rPr>
        <w:t xml:space="preserve">ταν στο ποσό των ευρώ </w:t>
      </w:r>
      <w:r w:rsidR="00A32A71">
        <w:rPr>
          <w:rFonts w:ascii="Tahoma" w:hAnsi="Tahoma" w:cs="Tahoma"/>
        </w:rPr>
        <w:t>6.197.382,44</w:t>
      </w:r>
      <w:r w:rsidR="006F4082" w:rsidRPr="006F4082">
        <w:rPr>
          <w:rFonts w:ascii="Tahoma" w:hAnsi="Tahoma" w:cs="Tahoma"/>
        </w:rPr>
        <w:t>.</w:t>
      </w:r>
    </w:p>
    <w:p w:rsidR="008365E6" w:rsidRDefault="008365E6" w:rsidP="005673A5">
      <w:pPr>
        <w:numPr>
          <w:ilvl w:val="0"/>
          <w:numId w:val="3"/>
        </w:numPr>
        <w:tabs>
          <w:tab w:val="clear" w:pos="644"/>
        </w:tabs>
        <w:spacing w:line="276" w:lineRule="auto"/>
        <w:ind w:left="426" w:hanging="426"/>
        <w:rPr>
          <w:rFonts w:ascii="Tahoma" w:hAnsi="Tahoma" w:cs="Tahoma"/>
        </w:rPr>
      </w:pPr>
      <w:r>
        <w:rPr>
          <w:rFonts w:ascii="Tahoma" w:hAnsi="Tahoma" w:cs="Tahoma"/>
        </w:rPr>
        <w:t xml:space="preserve">Οι υποχρεώσεις μακροπρόθεσμου λήξεως ,ανέρχονται στο ποσό  ευρώ </w:t>
      </w:r>
      <w:r w:rsidR="00A32A71">
        <w:rPr>
          <w:rFonts w:ascii="Tahoma" w:hAnsi="Tahoma" w:cs="Tahoma"/>
        </w:rPr>
        <w:t>437.327,73</w:t>
      </w:r>
      <w:r>
        <w:rPr>
          <w:rFonts w:ascii="Tahoma" w:hAnsi="Tahoma" w:cs="Tahoma"/>
        </w:rPr>
        <w:t>.</w:t>
      </w:r>
    </w:p>
    <w:p w:rsidR="00206011" w:rsidRDefault="00206011" w:rsidP="005673A5">
      <w:pPr>
        <w:numPr>
          <w:ilvl w:val="0"/>
          <w:numId w:val="3"/>
        </w:numPr>
        <w:tabs>
          <w:tab w:val="clear" w:pos="644"/>
        </w:tabs>
        <w:spacing w:line="276" w:lineRule="auto"/>
        <w:ind w:left="426" w:hanging="426"/>
        <w:rPr>
          <w:rFonts w:ascii="Tahoma" w:hAnsi="Tahoma" w:cs="Tahoma"/>
        </w:rPr>
      </w:pPr>
      <w:r w:rsidRPr="00F154D8">
        <w:rPr>
          <w:rFonts w:ascii="Tahoma" w:hAnsi="Tahoma" w:cs="Tahoma"/>
        </w:rPr>
        <w:t>Οι υποχρεώσεις</w:t>
      </w:r>
      <w:r w:rsidR="00DC32FE">
        <w:rPr>
          <w:rFonts w:ascii="Tahoma" w:hAnsi="Tahoma" w:cs="Tahoma"/>
        </w:rPr>
        <w:t xml:space="preserve">, </w:t>
      </w:r>
      <w:r w:rsidRPr="00F154D8">
        <w:rPr>
          <w:rFonts w:ascii="Tahoma" w:hAnsi="Tahoma" w:cs="Tahoma"/>
        </w:rPr>
        <w:t>βραχυπροθέσμου λήξεως</w:t>
      </w:r>
      <w:r w:rsidR="00F15084">
        <w:rPr>
          <w:rFonts w:ascii="Tahoma" w:hAnsi="Tahoma" w:cs="Tahoma"/>
        </w:rPr>
        <w:t>,</w:t>
      </w:r>
      <w:r w:rsidRPr="00F154D8">
        <w:rPr>
          <w:rFonts w:ascii="Tahoma" w:hAnsi="Tahoma" w:cs="Tahoma"/>
        </w:rPr>
        <w:t xml:space="preserve"> ανέρχονται στο ποσό ευρώ </w:t>
      </w:r>
      <w:r w:rsidR="00A32A71">
        <w:rPr>
          <w:rFonts w:ascii="Tahoma" w:hAnsi="Tahoma" w:cs="Tahoma"/>
        </w:rPr>
        <w:t>1.700.144,42</w:t>
      </w:r>
      <w:r w:rsidRPr="003D4413">
        <w:rPr>
          <w:rFonts w:ascii="Tahoma" w:hAnsi="Tahoma" w:cs="Tahoma"/>
        </w:rPr>
        <w:t>. Η εταιρεία είναι σε θέση ανά πάσα στιγμή να αντιμετωπίσει τις τρέχουσες υποχρεώσεις της, χωρίς ιδιαίτερα προβλήματα, διατηρώντας την καλή φήμη της στην αγορά.</w:t>
      </w:r>
    </w:p>
    <w:p w:rsidR="00206011" w:rsidRPr="00F154D8" w:rsidRDefault="00206011" w:rsidP="00F136DB">
      <w:pPr>
        <w:spacing w:line="276" w:lineRule="auto"/>
        <w:rPr>
          <w:rFonts w:ascii="Tahoma" w:hAnsi="Tahoma" w:cs="Tahoma"/>
        </w:rPr>
      </w:pPr>
    </w:p>
    <w:p w:rsidR="00206011" w:rsidRPr="00415028" w:rsidRDefault="00223838" w:rsidP="00415028">
      <w:pPr>
        <w:pStyle w:val="1"/>
        <w:numPr>
          <w:ilvl w:val="1"/>
          <w:numId w:val="3"/>
        </w:numPr>
        <w:spacing w:line="276" w:lineRule="auto"/>
        <w:rPr>
          <w:rFonts w:ascii="Tahoma" w:eastAsiaTheme="majorEastAsia" w:hAnsi="Tahoma" w:cs="Tahoma"/>
          <w:bCs w:val="0"/>
          <w:color w:val="243F60" w:themeColor="accent1" w:themeShade="7F"/>
          <w:sz w:val="20"/>
          <w:szCs w:val="20"/>
          <w:lang w:val="en-US"/>
        </w:rPr>
      </w:pPr>
      <w:r>
        <w:rPr>
          <w:rFonts w:ascii="Tahoma" w:eastAsiaTheme="majorEastAsia" w:hAnsi="Tahoma" w:cs="Tahoma"/>
          <w:bCs w:val="0"/>
          <w:color w:val="243F60" w:themeColor="accent1" w:themeShade="7F"/>
          <w:sz w:val="20"/>
          <w:szCs w:val="20"/>
        </w:rPr>
        <w:t>Αποτελέσματα</w:t>
      </w:r>
      <w:r w:rsidR="00415028" w:rsidRPr="00415028">
        <w:rPr>
          <w:rFonts w:ascii="Tahoma" w:eastAsiaTheme="majorEastAsia" w:hAnsi="Tahoma" w:cs="Tahoma"/>
          <w:bCs w:val="0"/>
          <w:color w:val="243F60" w:themeColor="accent1" w:themeShade="7F"/>
          <w:sz w:val="20"/>
          <w:szCs w:val="20"/>
          <w:lang w:val="en-US"/>
        </w:rPr>
        <w:t xml:space="preserve"> </w:t>
      </w:r>
      <w:r w:rsidR="00415028">
        <w:rPr>
          <w:rFonts w:ascii="Tahoma" w:eastAsiaTheme="majorEastAsia" w:hAnsi="Tahoma" w:cs="Tahoma"/>
          <w:bCs w:val="0"/>
          <w:color w:val="243F60" w:themeColor="accent1" w:themeShade="7F"/>
          <w:sz w:val="20"/>
          <w:szCs w:val="20"/>
        </w:rPr>
        <w:t>χρήσης</w:t>
      </w:r>
    </w:p>
    <w:p w:rsidR="00206011" w:rsidRDefault="00206011" w:rsidP="00F136DB">
      <w:pPr>
        <w:spacing w:line="276" w:lineRule="auto"/>
        <w:rPr>
          <w:rFonts w:ascii="Tahoma" w:hAnsi="Tahoma" w:cs="Tahoma"/>
          <w:lang w:val="en-US"/>
        </w:rPr>
      </w:pPr>
    </w:p>
    <w:p w:rsidR="00415028" w:rsidRDefault="00A32A71" w:rsidP="00F136DB">
      <w:pPr>
        <w:spacing w:line="276" w:lineRule="auto"/>
        <w:rPr>
          <w:rFonts w:ascii="Tahoma" w:hAnsi="Tahoma" w:cs="Tahoma"/>
          <w:lang w:val="en-US"/>
        </w:rPr>
      </w:pPr>
      <w:r w:rsidRPr="00A32A71">
        <w:rPr>
          <w:noProof/>
          <w:lang w:eastAsia="el-GR"/>
        </w:rPr>
        <w:drawing>
          <wp:inline distT="0" distB="0" distL="0" distR="0">
            <wp:extent cx="5570220" cy="176022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220" cy="1760220"/>
                    </a:xfrm>
                    <a:prstGeom prst="rect">
                      <a:avLst/>
                    </a:prstGeom>
                    <a:noFill/>
                    <a:ln>
                      <a:noFill/>
                    </a:ln>
                  </pic:spPr>
                </pic:pic>
              </a:graphicData>
            </a:graphic>
          </wp:inline>
        </w:drawing>
      </w:r>
    </w:p>
    <w:p w:rsidR="00B54E03" w:rsidRPr="00B54E03" w:rsidRDefault="00B54E03" w:rsidP="00B54E03">
      <w:pPr>
        <w:spacing w:line="276" w:lineRule="auto"/>
        <w:rPr>
          <w:rFonts w:ascii="Tahoma" w:hAnsi="Tahoma" w:cs="Tahoma"/>
          <w:szCs w:val="18"/>
        </w:rPr>
      </w:pPr>
      <w:r w:rsidRPr="00B54E03">
        <w:rPr>
          <w:rFonts w:ascii="Tahoma" w:hAnsi="Tahoma" w:cs="Tahoma"/>
          <w:b/>
          <w:bCs/>
          <w:szCs w:val="18"/>
        </w:rPr>
        <w:t>Ο κύκλος εργασιών</w:t>
      </w:r>
      <w:r w:rsidR="006F4082">
        <w:rPr>
          <w:rFonts w:ascii="Tahoma" w:hAnsi="Tahoma" w:cs="Tahoma"/>
          <w:szCs w:val="18"/>
        </w:rPr>
        <w:t xml:space="preserve"> ανήλθε στο ποσό των € </w:t>
      </w:r>
      <w:r w:rsidR="00A32A71">
        <w:rPr>
          <w:rFonts w:ascii="Tahoma" w:hAnsi="Tahoma" w:cs="Tahoma"/>
          <w:szCs w:val="18"/>
        </w:rPr>
        <w:t>5.503</w:t>
      </w:r>
      <w:r w:rsidR="006F4082">
        <w:rPr>
          <w:rFonts w:ascii="Tahoma" w:hAnsi="Tahoma" w:cs="Tahoma"/>
          <w:szCs w:val="18"/>
        </w:rPr>
        <w:t xml:space="preserve"> χιλ. έναντι € </w:t>
      </w:r>
      <w:r w:rsidR="00A32A71">
        <w:rPr>
          <w:rFonts w:ascii="Tahoma" w:hAnsi="Tahoma" w:cs="Tahoma"/>
          <w:szCs w:val="18"/>
        </w:rPr>
        <w:t>5.298</w:t>
      </w:r>
      <w:r w:rsidRPr="00B54E03">
        <w:rPr>
          <w:rFonts w:ascii="Tahoma" w:hAnsi="Tahoma" w:cs="Tahoma"/>
          <w:szCs w:val="18"/>
        </w:rPr>
        <w:t xml:space="preserve"> χιλ. της προηγούμενης χρήσης και </w:t>
      </w:r>
      <w:r w:rsidR="006F4082">
        <w:rPr>
          <w:rFonts w:ascii="Tahoma" w:hAnsi="Tahoma" w:cs="Tahoma"/>
          <w:szCs w:val="18"/>
        </w:rPr>
        <w:t xml:space="preserve">παρουσίασε αύξηση κατά </w:t>
      </w:r>
      <w:r w:rsidR="00A32A71">
        <w:rPr>
          <w:rFonts w:ascii="Tahoma" w:hAnsi="Tahoma" w:cs="Tahoma"/>
          <w:szCs w:val="18"/>
        </w:rPr>
        <w:t>3,87</w:t>
      </w:r>
      <w:r w:rsidR="00B22068">
        <w:rPr>
          <w:rFonts w:ascii="Tahoma" w:hAnsi="Tahoma" w:cs="Tahoma"/>
          <w:szCs w:val="18"/>
        </w:rPr>
        <w:t>%</w:t>
      </w:r>
      <w:r w:rsidRPr="00B54E03">
        <w:rPr>
          <w:rFonts w:ascii="Tahoma" w:hAnsi="Tahoma" w:cs="Tahoma"/>
          <w:szCs w:val="18"/>
        </w:rPr>
        <w:t>.</w:t>
      </w:r>
    </w:p>
    <w:p w:rsidR="00B54E03" w:rsidRPr="00B54E03" w:rsidRDefault="00B54E03" w:rsidP="00B54E03">
      <w:pPr>
        <w:spacing w:line="276" w:lineRule="auto"/>
        <w:rPr>
          <w:rFonts w:ascii="Tahoma" w:hAnsi="Tahoma" w:cs="Tahoma"/>
          <w:szCs w:val="18"/>
        </w:rPr>
      </w:pPr>
    </w:p>
    <w:p w:rsidR="00B54E03" w:rsidRDefault="00B54E03" w:rsidP="00B54E03">
      <w:pPr>
        <w:spacing w:line="276" w:lineRule="auto"/>
        <w:rPr>
          <w:rFonts w:ascii="Tahoma" w:hAnsi="Tahoma" w:cs="Tahoma"/>
          <w:szCs w:val="18"/>
        </w:rPr>
      </w:pPr>
      <w:r w:rsidRPr="00B54E03">
        <w:rPr>
          <w:rFonts w:ascii="Tahoma" w:hAnsi="Tahoma" w:cs="Tahoma"/>
          <w:b/>
          <w:bCs/>
          <w:szCs w:val="18"/>
        </w:rPr>
        <w:t>Τα μικτά κέρδη</w:t>
      </w:r>
      <w:r w:rsidR="006F4082">
        <w:rPr>
          <w:rFonts w:ascii="Tahoma" w:hAnsi="Tahoma" w:cs="Tahoma"/>
          <w:szCs w:val="18"/>
        </w:rPr>
        <w:t>, ανήλθαν στο ποσό των € 3</w:t>
      </w:r>
      <w:r w:rsidR="00A32A71">
        <w:rPr>
          <w:rFonts w:ascii="Tahoma" w:hAnsi="Tahoma" w:cs="Tahoma"/>
          <w:szCs w:val="18"/>
        </w:rPr>
        <w:t>25</w:t>
      </w:r>
      <w:r w:rsidR="006F4082">
        <w:rPr>
          <w:rFonts w:ascii="Tahoma" w:hAnsi="Tahoma" w:cs="Tahoma"/>
          <w:szCs w:val="18"/>
        </w:rPr>
        <w:t xml:space="preserve"> χιλ. έναντι € </w:t>
      </w:r>
      <w:r w:rsidR="00A32A71">
        <w:rPr>
          <w:rFonts w:ascii="Tahoma" w:hAnsi="Tahoma" w:cs="Tahoma"/>
          <w:szCs w:val="18"/>
        </w:rPr>
        <w:t>305</w:t>
      </w:r>
      <w:r w:rsidR="006F4082">
        <w:rPr>
          <w:rFonts w:ascii="Tahoma" w:hAnsi="Tahoma" w:cs="Tahoma"/>
          <w:szCs w:val="18"/>
        </w:rPr>
        <w:t xml:space="preserve"> χιλ. </w:t>
      </w:r>
      <w:r w:rsidRPr="00B54E03">
        <w:rPr>
          <w:rFonts w:ascii="Tahoma" w:hAnsi="Tahoma" w:cs="Tahoma"/>
          <w:szCs w:val="18"/>
        </w:rPr>
        <w:t xml:space="preserve"> της προηγούμενης χρήσης παρουσιάζοντας </w:t>
      </w:r>
      <w:r w:rsidR="00A32A71">
        <w:rPr>
          <w:rFonts w:ascii="Tahoma" w:hAnsi="Tahoma" w:cs="Tahoma"/>
          <w:szCs w:val="18"/>
        </w:rPr>
        <w:lastRenderedPageBreak/>
        <w:t>αύξηση</w:t>
      </w:r>
      <w:r w:rsidR="006F4082">
        <w:rPr>
          <w:rFonts w:ascii="Tahoma" w:hAnsi="Tahoma" w:cs="Tahoma"/>
          <w:szCs w:val="18"/>
        </w:rPr>
        <w:t xml:space="preserve"> κατά</w:t>
      </w:r>
      <w:r w:rsidRPr="00B54E03">
        <w:rPr>
          <w:rFonts w:ascii="Tahoma" w:hAnsi="Tahoma" w:cs="Tahoma"/>
          <w:szCs w:val="18"/>
        </w:rPr>
        <w:t xml:space="preserve"> </w:t>
      </w:r>
      <w:r w:rsidR="00A32A71">
        <w:rPr>
          <w:rFonts w:ascii="Tahoma" w:hAnsi="Tahoma" w:cs="Tahoma"/>
          <w:szCs w:val="18"/>
        </w:rPr>
        <w:t>6,31</w:t>
      </w:r>
      <w:r w:rsidRPr="00B54E03">
        <w:rPr>
          <w:rFonts w:ascii="Tahoma" w:hAnsi="Tahoma" w:cs="Tahoma"/>
          <w:szCs w:val="18"/>
        </w:rPr>
        <w:t xml:space="preserve">% </w:t>
      </w:r>
      <w:r w:rsidR="00AC7DEB">
        <w:rPr>
          <w:rFonts w:ascii="Tahoma" w:hAnsi="Tahoma" w:cs="Tahoma"/>
          <w:szCs w:val="18"/>
        </w:rPr>
        <w:t xml:space="preserve">. </w:t>
      </w:r>
    </w:p>
    <w:p w:rsidR="00AC7DEB" w:rsidRPr="00B54E03" w:rsidRDefault="00AC7DEB" w:rsidP="00B54E03">
      <w:pPr>
        <w:spacing w:line="276" w:lineRule="auto"/>
        <w:rPr>
          <w:rFonts w:ascii="Tahoma" w:hAnsi="Tahoma" w:cs="Tahoma"/>
          <w:szCs w:val="18"/>
          <w:highlight w:val="yellow"/>
        </w:rPr>
      </w:pPr>
    </w:p>
    <w:p w:rsidR="00B54E03" w:rsidRPr="00B54E03" w:rsidRDefault="00B54E03" w:rsidP="00B54E03">
      <w:pPr>
        <w:spacing w:line="276" w:lineRule="auto"/>
        <w:rPr>
          <w:rFonts w:ascii="Tahoma" w:hAnsi="Tahoma" w:cs="Tahoma"/>
          <w:szCs w:val="18"/>
        </w:rPr>
      </w:pPr>
      <w:r w:rsidRPr="00B54E03">
        <w:rPr>
          <w:rFonts w:ascii="Tahoma" w:hAnsi="Tahoma" w:cs="Tahoma"/>
          <w:b/>
          <w:bCs/>
          <w:szCs w:val="18"/>
        </w:rPr>
        <w:t>Τα κέρδη προ φόρων, χρηματοδοτικών, επενδυτικών αποτελεσμάτων και αποσβέσεων (EBITDA)</w:t>
      </w:r>
      <w:r w:rsidRPr="00B54E03">
        <w:rPr>
          <w:rFonts w:ascii="Tahoma" w:hAnsi="Tahoma" w:cs="Tahoma"/>
          <w:szCs w:val="18"/>
        </w:rPr>
        <w:t xml:space="preserve">, ανήλθαν στο ποσό των € </w:t>
      </w:r>
      <w:r w:rsidR="00A32A71">
        <w:rPr>
          <w:rFonts w:ascii="Tahoma" w:hAnsi="Tahoma" w:cs="Tahoma"/>
          <w:szCs w:val="18"/>
        </w:rPr>
        <w:t>406</w:t>
      </w:r>
      <w:r w:rsidRPr="00B54E03">
        <w:rPr>
          <w:rFonts w:ascii="Tahoma" w:hAnsi="Tahoma" w:cs="Tahoma"/>
          <w:szCs w:val="18"/>
        </w:rPr>
        <w:t xml:space="preserve"> χιλ. € έναντι του ποσού των </w:t>
      </w:r>
      <w:r w:rsidR="006F4082">
        <w:rPr>
          <w:rFonts w:ascii="Tahoma" w:hAnsi="Tahoma" w:cs="Tahoma"/>
          <w:szCs w:val="18"/>
        </w:rPr>
        <w:t>3</w:t>
      </w:r>
      <w:r w:rsidR="00A32A71">
        <w:rPr>
          <w:rFonts w:ascii="Tahoma" w:hAnsi="Tahoma" w:cs="Tahoma"/>
          <w:szCs w:val="18"/>
        </w:rPr>
        <w:t xml:space="preserve">10 </w:t>
      </w:r>
      <w:r w:rsidRPr="00B54E03">
        <w:rPr>
          <w:rFonts w:ascii="Tahoma" w:hAnsi="Tahoma" w:cs="Tahoma"/>
          <w:szCs w:val="18"/>
        </w:rPr>
        <w:t xml:space="preserve">χιλ. € της προηγούμενης χρήσης.  </w:t>
      </w:r>
    </w:p>
    <w:p w:rsidR="00B54E03" w:rsidRPr="00B54E03" w:rsidRDefault="00B54E03" w:rsidP="00B54E03">
      <w:pPr>
        <w:spacing w:line="276" w:lineRule="auto"/>
        <w:rPr>
          <w:rFonts w:ascii="Tahoma" w:hAnsi="Tahoma" w:cs="Tahoma"/>
          <w:szCs w:val="18"/>
          <w:highlight w:val="yellow"/>
        </w:rPr>
      </w:pPr>
    </w:p>
    <w:p w:rsidR="00B54E03" w:rsidRPr="00B54E03" w:rsidRDefault="00B54E03" w:rsidP="00B54E03">
      <w:pPr>
        <w:spacing w:line="276" w:lineRule="auto"/>
        <w:rPr>
          <w:rFonts w:ascii="Tahoma" w:hAnsi="Tahoma" w:cs="Tahoma"/>
          <w:szCs w:val="18"/>
        </w:rPr>
      </w:pPr>
      <w:r w:rsidRPr="00B54E03">
        <w:rPr>
          <w:rFonts w:ascii="Tahoma" w:hAnsi="Tahoma" w:cs="Tahoma"/>
          <w:b/>
          <w:bCs/>
          <w:szCs w:val="18"/>
        </w:rPr>
        <w:t xml:space="preserve">Τα </w:t>
      </w:r>
      <w:r w:rsidR="00A32A71">
        <w:rPr>
          <w:rFonts w:ascii="Tahoma" w:hAnsi="Tahoma" w:cs="Tahoma"/>
          <w:b/>
          <w:bCs/>
          <w:szCs w:val="18"/>
        </w:rPr>
        <w:t>αποτελέσματα</w:t>
      </w:r>
      <w:r w:rsidRPr="00B54E03">
        <w:rPr>
          <w:rFonts w:ascii="Tahoma" w:hAnsi="Tahoma" w:cs="Tahoma"/>
          <w:b/>
          <w:bCs/>
          <w:szCs w:val="18"/>
        </w:rPr>
        <w:t xml:space="preserve"> προ φόρων</w:t>
      </w:r>
      <w:r>
        <w:rPr>
          <w:rFonts w:ascii="Tahoma" w:hAnsi="Tahoma" w:cs="Tahoma"/>
          <w:szCs w:val="18"/>
        </w:rPr>
        <w:t xml:space="preserve"> </w:t>
      </w:r>
      <w:r w:rsidRPr="00B54E03">
        <w:rPr>
          <w:rFonts w:ascii="Tahoma" w:hAnsi="Tahoma" w:cs="Tahoma"/>
          <w:szCs w:val="18"/>
        </w:rPr>
        <w:t xml:space="preserve">της εταιρείας  ανήλθαν σε </w:t>
      </w:r>
      <w:r w:rsidR="006F4082">
        <w:rPr>
          <w:rFonts w:ascii="Tahoma" w:hAnsi="Tahoma" w:cs="Tahoma"/>
          <w:szCs w:val="18"/>
        </w:rPr>
        <w:t xml:space="preserve">ζημιές ύψους </w:t>
      </w:r>
      <w:r w:rsidR="00A32A71">
        <w:rPr>
          <w:rFonts w:ascii="Tahoma" w:hAnsi="Tahoma" w:cs="Tahoma"/>
          <w:szCs w:val="18"/>
        </w:rPr>
        <w:t>125</w:t>
      </w:r>
      <w:r w:rsidRPr="00B54E03">
        <w:rPr>
          <w:rFonts w:ascii="Tahoma" w:hAnsi="Tahoma" w:cs="Tahoma"/>
          <w:szCs w:val="18"/>
        </w:rPr>
        <w:t xml:space="preserve"> χιλ. € έναντι ποσού </w:t>
      </w:r>
      <w:r w:rsidR="006F4082">
        <w:rPr>
          <w:rFonts w:ascii="Tahoma" w:hAnsi="Tahoma" w:cs="Tahoma"/>
          <w:szCs w:val="18"/>
        </w:rPr>
        <w:t xml:space="preserve">ζημιών </w:t>
      </w:r>
      <w:r w:rsidR="00A32A71">
        <w:rPr>
          <w:rFonts w:ascii="Tahoma" w:hAnsi="Tahoma" w:cs="Tahoma"/>
          <w:szCs w:val="18"/>
        </w:rPr>
        <w:t>311</w:t>
      </w:r>
      <w:r w:rsidRPr="00B54E03">
        <w:rPr>
          <w:rFonts w:ascii="Tahoma" w:hAnsi="Tahoma" w:cs="Tahoma"/>
          <w:szCs w:val="18"/>
        </w:rPr>
        <w:t xml:space="preserve"> χιλ. € της προηγούμενης χρήσης παρουσιάζοντας </w:t>
      </w:r>
      <w:r w:rsidR="00B22068">
        <w:rPr>
          <w:rFonts w:ascii="Tahoma" w:hAnsi="Tahoma" w:cs="Tahoma"/>
          <w:szCs w:val="18"/>
        </w:rPr>
        <w:t xml:space="preserve">σημαντική </w:t>
      </w:r>
      <w:r w:rsidR="00A32A71">
        <w:rPr>
          <w:rFonts w:ascii="Tahoma" w:hAnsi="Tahoma" w:cs="Tahoma"/>
          <w:szCs w:val="18"/>
        </w:rPr>
        <w:t>μείωση</w:t>
      </w:r>
      <w:r w:rsidR="00B22068">
        <w:rPr>
          <w:rFonts w:ascii="Tahoma" w:hAnsi="Tahoma" w:cs="Tahoma"/>
          <w:szCs w:val="18"/>
        </w:rPr>
        <w:t>.</w:t>
      </w:r>
    </w:p>
    <w:p w:rsidR="00B54E03" w:rsidRPr="00B54E03" w:rsidRDefault="00B54E03" w:rsidP="00B54E03">
      <w:pPr>
        <w:spacing w:line="276" w:lineRule="auto"/>
        <w:rPr>
          <w:rFonts w:ascii="Tahoma" w:hAnsi="Tahoma" w:cs="Tahoma"/>
        </w:rPr>
      </w:pPr>
    </w:p>
    <w:p w:rsidR="00B54E03" w:rsidRPr="00B54E03" w:rsidRDefault="00B54E03" w:rsidP="00B54E03">
      <w:pPr>
        <w:spacing w:line="276" w:lineRule="auto"/>
        <w:rPr>
          <w:rFonts w:ascii="Tahoma" w:hAnsi="Tahoma" w:cs="Tahoma"/>
          <w:szCs w:val="18"/>
        </w:rPr>
      </w:pPr>
      <w:r w:rsidRPr="00B54E03">
        <w:rPr>
          <w:rFonts w:ascii="Tahoma" w:hAnsi="Tahoma" w:cs="Tahoma"/>
          <w:szCs w:val="18"/>
        </w:rPr>
        <w:t>Η ανάλυση της αλυσίδας αξίας και των ενσώματων και άυλων παγίων περιουσιακών στοιχείων, που χρησιμοποιήθηκαν από την εταιρεία στα πλαίσια της πραγματοποίησης των εργα</w:t>
      </w:r>
      <w:r w:rsidR="006E290A">
        <w:rPr>
          <w:rFonts w:ascii="Tahoma" w:hAnsi="Tahoma" w:cs="Tahoma"/>
          <w:szCs w:val="18"/>
        </w:rPr>
        <w:t>σιών της στη χρήση 201</w:t>
      </w:r>
      <w:r w:rsidR="00A32A71">
        <w:rPr>
          <w:rFonts w:ascii="Tahoma" w:hAnsi="Tahoma" w:cs="Tahoma"/>
          <w:szCs w:val="18"/>
        </w:rPr>
        <w:t>8</w:t>
      </w:r>
      <w:r w:rsidRPr="00B54E03">
        <w:rPr>
          <w:rFonts w:ascii="Tahoma" w:hAnsi="Tahoma" w:cs="Tahoma"/>
          <w:szCs w:val="18"/>
        </w:rPr>
        <w:t>, παρατίθενται στο σχετ</w:t>
      </w:r>
      <w:r>
        <w:rPr>
          <w:rFonts w:ascii="Tahoma" w:hAnsi="Tahoma" w:cs="Tahoma"/>
          <w:szCs w:val="18"/>
        </w:rPr>
        <w:t>ικό Προσάρτημα της ίδιας χρήσης.</w:t>
      </w:r>
    </w:p>
    <w:p w:rsidR="00415028" w:rsidRPr="00B54E03" w:rsidRDefault="00415028" w:rsidP="00F136DB">
      <w:pPr>
        <w:spacing w:line="276" w:lineRule="auto"/>
        <w:rPr>
          <w:rFonts w:ascii="Tahoma" w:hAnsi="Tahoma" w:cs="Tahoma"/>
        </w:rPr>
      </w:pPr>
    </w:p>
    <w:p w:rsidR="00206011" w:rsidRPr="00415028" w:rsidRDefault="00415028" w:rsidP="00415028">
      <w:pPr>
        <w:pStyle w:val="1"/>
        <w:numPr>
          <w:ilvl w:val="1"/>
          <w:numId w:val="3"/>
        </w:numPr>
        <w:spacing w:line="276" w:lineRule="auto"/>
        <w:rPr>
          <w:rFonts w:ascii="Tahoma" w:eastAsiaTheme="majorEastAsia" w:hAnsi="Tahoma" w:cs="Tahoma"/>
          <w:bCs w:val="0"/>
          <w:color w:val="243F60" w:themeColor="accent1" w:themeShade="7F"/>
          <w:sz w:val="20"/>
          <w:szCs w:val="20"/>
          <w:lang w:val="en-US"/>
        </w:rPr>
      </w:pPr>
      <w:proofErr w:type="spellStart"/>
      <w:r w:rsidRPr="00415028">
        <w:rPr>
          <w:rFonts w:ascii="Tahoma" w:eastAsiaTheme="majorEastAsia" w:hAnsi="Tahoma" w:cs="Tahoma"/>
          <w:bCs w:val="0"/>
          <w:color w:val="243F60" w:themeColor="accent1" w:themeShade="7F"/>
          <w:sz w:val="20"/>
          <w:szCs w:val="20"/>
          <w:lang w:val="en-US"/>
        </w:rPr>
        <w:t>Διάθεση</w:t>
      </w:r>
      <w:proofErr w:type="spellEnd"/>
      <w:r w:rsidRPr="00415028">
        <w:rPr>
          <w:rFonts w:ascii="Tahoma" w:eastAsiaTheme="majorEastAsia" w:hAnsi="Tahoma" w:cs="Tahoma"/>
          <w:bCs w:val="0"/>
          <w:color w:val="243F60" w:themeColor="accent1" w:themeShade="7F"/>
          <w:sz w:val="20"/>
          <w:szCs w:val="20"/>
          <w:lang w:val="en-US"/>
        </w:rPr>
        <w:t xml:space="preserve"> </w:t>
      </w:r>
      <w:proofErr w:type="spellStart"/>
      <w:r w:rsidRPr="00415028">
        <w:rPr>
          <w:rFonts w:ascii="Tahoma" w:eastAsiaTheme="majorEastAsia" w:hAnsi="Tahoma" w:cs="Tahoma"/>
          <w:bCs w:val="0"/>
          <w:color w:val="243F60" w:themeColor="accent1" w:themeShade="7F"/>
          <w:sz w:val="20"/>
          <w:szCs w:val="20"/>
          <w:lang w:val="en-US"/>
        </w:rPr>
        <w:t>των</w:t>
      </w:r>
      <w:proofErr w:type="spellEnd"/>
      <w:r w:rsidRPr="00415028">
        <w:rPr>
          <w:rFonts w:ascii="Tahoma" w:eastAsiaTheme="majorEastAsia" w:hAnsi="Tahoma" w:cs="Tahoma"/>
          <w:bCs w:val="0"/>
          <w:color w:val="243F60" w:themeColor="accent1" w:themeShade="7F"/>
          <w:sz w:val="20"/>
          <w:szCs w:val="20"/>
          <w:lang w:val="en-US"/>
        </w:rPr>
        <w:t xml:space="preserve"> </w:t>
      </w:r>
      <w:proofErr w:type="spellStart"/>
      <w:r w:rsidR="00876AFD">
        <w:rPr>
          <w:rFonts w:ascii="Tahoma" w:eastAsiaTheme="majorEastAsia" w:hAnsi="Tahoma" w:cs="Tahoma"/>
          <w:bCs w:val="0"/>
          <w:color w:val="243F60" w:themeColor="accent1" w:themeShade="7F"/>
          <w:sz w:val="20"/>
          <w:szCs w:val="20"/>
        </w:rPr>
        <w:t>απ</w:t>
      </w:r>
      <w:r w:rsidRPr="00415028">
        <w:rPr>
          <w:rFonts w:ascii="Tahoma" w:eastAsiaTheme="majorEastAsia" w:hAnsi="Tahoma" w:cs="Tahoma"/>
          <w:bCs w:val="0"/>
          <w:color w:val="243F60" w:themeColor="accent1" w:themeShade="7F"/>
          <w:sz w:val="20"/>
          <w:szCs w:val="20"/>
          <w:lang w:val="en-US"/>
        </w:rPr>
        <w:t>οτελεσμάτων</w:t>
      </w:r>
      <w:proofErr w:type="spellEnd"/>
    </w:p>
    <w:p w:rsidR="00206011" w:rsidRPr="00F154D8" w:rsidRDefault="00206011" w:rsidP="00F136DB">
      <w:pPr>
        <w:spacing w:line="276" w:lineRule="auto"/>
        <w:rPr>
          <w:rFonts w:ascii="Tahoma" w:hAnsi="Tahoma" w:cs="Tahoma"/>
          <w:b/>
          <w:bCs/>
        </w:rPr>
      </w:pPr>
    </w:p>
    <w:p w:rsidR="00300492" w:rsidRPr="00DE2402" w:rsidRDefault="00F55D33" w:rsidP="00F136DB">
      <w:pPr>
        <w:spacing w:line="276" w:lineRule="auto"/>
        <w:rPr>
          <w:rFonts w:ascii="Tahoma" w:hAnsi="Tahoma" w:cs="Tahoma"/>
        </w:rPr>
      </w:pPr>
      <w:r w:rsidRPr="00DE2402">
        <w:rPr>
          <w:rFonts w:ascii="Tahoma" w:hAnsi="Tahoma" w:cs="Tahoma"/>
        </w:rPr>
        <w:t>Τ</w:t>
      </w:r>
      <w:r w:rsidR="00A94956" w:rsidRPr="00DE2402">
        <w:rPr>
          <w:rFonts w:ascii="Tahoma" w:hAnsi="Tahoma" w:cs="Tahoma"/>
        </w:rPr>
        <w:t xml:space="preserve">α </w:t>
      </w:r>
      <w:r w:rsidR="006E290A">
        <w:rPr>
          <w:rFonts w:ascii="Tahoma" w:hAnsi="Tahoma" w:cs="Tahoma"/>
        </w:rPr>
        <w:t xml:space="preserve">αποτελέσματα χρήσεως (ζημιές που ανήλθαν στο ποσό των ευρώ </w:t>
      </w:r>
      <w:r w:rsidR="00DD2062">
        <w:rPr>
          <w:rFonts w:ascii="Tahoma" w:hAnsi="Tahoma" w:cs="Tahoma"/>
        </w:rPr>
        <w:t>124.851,63</w:t>
      </w:r>
      <w:r w:rsidR="00860762">
        <w:rPr>
          <w:rFonts w:ascii="Tahoma" w:hAnsi="Tahoma" w:cs="Tahoma"/>
        </w:rPr>
        <w:t xml:space="preserve">),μετά τον μερικό τους συμψηφισμό με τα αποτελέσματα (ζημιές) προηγούμενων χρήσεων ,παραμένουν ζημιές ποσού ευρώ </w:t>
      </w:r>
      <w:r w:rsidR="00DD2062">
        <w:rPr>
          <w:rFonts w:ascii="Tahoma" w:hAnsi="Tahoma" w:cs="Tahoma"/>
        </w:rPr>
        <w:t>613.902,73</w:t>
      </w:r>
      <w:r w:rsidR="00860762">
        <w:rPr>
          <w:rFonts w:ascii="Tahoma" w:hAnsi="Tahoma" w:cs="Tahoma"/>
        </w:rPr>
        <w:t xml:space="preserve"> και μεταφέρονται σε εις νέο για συμψηφισμό με μελλοντικά κέρδη.</w:t>
      </w:r>
    </w:p>
    <w:p w:rsidR="000E5DBD" w:rsidRDefault="000E5DBD" w:rsidP="00F136DB">
      <w:pPr>
        <w:spacing w:line="276" w:lineRule="auto"/>
        <w:rPr>
          <w:rFonts w:ascii="Tahoma" w:hAnsi="Tahoma" w:cs="Tahoma"/>
          <w:b/>
          <w:bCs/>
          <w:u w:val="single"/>
        </w:rPr>
      </w:pPr>
    </w:p>
    <w:p w:rsidR="00B54E03" w:rsidRDefault="00B54E03" w:rsidP="00B54E03">
      <w:pPr>
        <w:pStyle w:val="1"/>
        <w:numPr>
          <w:ilvl w:val="1"/>
          <w:numId w:val="3"/>
        </w:numPr>
        <w:spacing w:line="276" w:lineRule="auto"/>
        <w:rPr>
          <w:rFonts w:ascii="Tahoma" w:eastAsiaTheme="majorEastAsia" w:hAnsi="Tahoma" w:cs="Tahoma"/>
          <w:bCs w:val="0"/>
          <w:color w:val="243F60" w:themeColor="accent1" w:themeShade="7F"/>
          <w:sz w:val="20"/>
          <w:szCs w:val="20"/>
        </w:rPr>
      </w:pPr>
      <w:r>
        <w:rPr>
          <w:rFonts w:ascii="Tahoma" w:eastAsiaTheme="majorEastAsia" w:hAnsi="Tahoma" w:cs="Tahoma"/>
          <w:bCs w:val="0"/>
          <w:color w:val="243F60" w:themeColor="accent1" w:themeShade="7F"/>
          <w:sz w:val="20"/>
          <w:szCs w:val="20"/>
        </w:rPr>
        <w:t>Ο</w:t>
      </w:r>
      <w:r w:rsidRPr="00B54E03">
        <w:rPr>
          <w:rFonts w:ascii="Tahoma" w:eastAsiaTheme="majorEastAsia" w:hAnsi="Tahoma" w:cs="Tahoma"/>
          <w:bCs w:val="0"/>
          <w:color w:val="243F60" w:themeColor="accent1" w:themeShade="7F"/>
          <w:sz w:val="20"/>
          <w:szCs w:val="20"/>
        </w:rPr>
        <w:t>ικονομικοί δε</w:t>
      </w:r>
      <w:r>
        <w:rPr>
          <w:rFonts w:ascii="Tahoma" w:eastAsiaTheme="majorEastAsia" w:hAnsi="Tahoma" w:cs="Tahoma"/>
          <w:bCs w:val="0"/>
          <w:color w:val="243F60" w:themeColor="accent1" w:themeShade="7F"/>
          <w:sz w:val="20"/>
          <w:szCs w:val="20"/>
        </w:rPr>
        <w:t>ί</w:t>
      </w:r>
      <w:r w:rsidRPr="00B54E03">
        <w:rPr>
          <w:rFonts w:ascii="Tahoma" w:eastAsiaTheme="majorEastAsia" w:hAnsi="Tahoma" w:cs="Tahoma"/>
          <w:bCs w:val="0"/>
          <w:color w:val="243F60" w:themeColor="accent1" w:themeShade="7F"/>
          <w:sz w:val="20"/>
          <w:szCs w:val="20"/>
        </w:rPr>
        <w:t>κτες</w:t>
      </w:r>
    </w:p>
    <w:p w:rsidR="006E1E0F" w:rsidRPr="006E1E0F" w:rsidRDefault="00DD2062" w:rsidP="006E1E0F">
      <w:pPr>
        <w:rPr>
          <w:rFonts w:eastAsiaTheme="majorEastAsia"/>
        </w:rPr>
      </w:pPr>
      <w:r w:rsidRPr="00DD2062">
        <w:rPr>
          <w:rFonts w:eastAsiaTheme="majorEastAsia"/>
          <w:noProof/>
          <w:lang w:eastAsia="el-GR"/>
        </w:rPr>
        <w:drawing>
          <wp:inline distT="0" distB="0" distL="0" distR="0">
            <wp:extent cx="6391275" cy="46101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8023" cy="4614967"/>
                    </a:xfrm>
                    <a:prstGeom prst="rect">
                      <a:avLst/>
                    </a:prstGeom>
                    <a:noFill/>
                    <a:ln>
                      <a:noFill/>
                    </a:ln>
                  </pic:spPr>
                </pic:pic>
              </a:graphicData>
            </a:graphic>
          </wp:inline>
        </w:drawing>
      </w:r>
    </w:p>
    <w:p w:rsidR="0071666F" w:rsidRDefault="0071666F" w:rsidP="00F136DB">
      <w:pPr>
        <w:spacing w:line="276" w:lineRule="auto"/>
        <w:rPr>
          <w:rFonts w:ascii="Tahoma" w:hAnsi="Tahoma" w:cs="Tahoma"/>
          <w:b/>
          <w:bCs/>
          <w:u w:val="double"/>
        </w:rPr>
      </w:pPr>
    </w:p>
    <w:p w:rsidR="00B54E03" w:rsidRPr="006E1E0F" w:rsidRDefault="006E1E0F" w:rsidP="006E1E0F">
      <w:pPr>
        <w:pStyle w:val="7"/>
        <w:rPr>
          <w:rFonts w:ascii="Tahoma" w:hAnsi="Tahoma" w:cs="Tahoma"/>
          <w:b/>
          <w:i w:val="0"/>
          <w:sz w:val="24"/>
          <w:szCs w:val="24"/>
        </w:rPr>
      </w:pPr>
      <w:r w:rsidRPr="006E1E0F">
        <w:rPr>
          <w:rFonts w:ascii="Tahoma" w:hAnsi="Tahoma" w:cs="Tahoma"/>
          <w:b/>
          <w:i w:val="0"/>
          <w:sz w:val="24"/>
          <w:szCs w:val="24"/>
        </w:rPr>
        <w:t>3.</w:t>
      </w:r>
      <w:r w:rsidRPr="006E1E0F">
        <w:rPr>
          <w:rFonts w:ascii="Tahoma" w:hAnsi="Tahoma" w:cs="Tahoma"/>
          <w:b/>
          <w:i w:val="0"/>
          <w:sz w:val="24"/>
          <w:szCs w:val="24"/>
        </w:rPr>
        <w:tab/>
      </w:r>
      <w:r w:rsidR="00B54E03" w:rsidRPr="006E1E0F">
        <w:rPr>
          <w:rFonts w:ascii="Tahoma" w:hAnsi="Tahoma" w:cs="Tahoma"/>
          <w:b/>
          <w:i w:val="0"/>
          <w:sz w:val="24"/>
          <w:szCs w:val="24"/>
        </w:rPr>
        <w:t>Κίνδυνοι και αβεβαιότητες</w:t>
      </w:r>
    </w:p>
    <w:p w:rsidR="00B54E03" w:rsidRPr="006E1E0F" w:rsidRDefault="006E1E0F" w:rsidP="006E1E0F">
      <w:pPr>
        <w:pStyle w:val="7"/>
        <w:rPr>
          <w:rFonts w:ascii="Tahoma" w:hAnsi="Tahoma" w:cs="Tahoma"/>
          <w:b/>
          <w:i w:val="0"/>
        </w:rPr>
      </w:pPr>
      <w:r w:rsidRPr="006E1E0F">
        <w:rPr>
          <w:rFonts w:ascii="Tahoma" w:hAnsi="Tahoma" w:cs="Tahoma"/>
          <w:b/>
          <w:i w:val="0"/>
        </w:rPr>
        <w:t>3</w:t>
      </w:r>
      <w:r w:rsidR="00B54E03" w:rsidRPr="006E1E0F">
        <w:rPr>
          <w:rFonts w:ascii="Tahoma" w:hAnsi="Tahoma" w:cs="Tahoma"/>
          <w:b/>
          <w:i w:val="0"/>
        </w:rPr>
        <w:t xml:space="preserve">.1. </w:t>
      </w:r>
      <w:r w:rsidRPr="006E1E0F">
        <w:rPr>
          <w:rFonts w:ascii="Tahoma" w:hAnsi="Tahoma" w:cs="Tahoma"/>
          <w:b/>
          <w:i w:val="0"/>
        </w:rPr>
        <w:tab/>
      </w:r>
      <w:r w:rsidR="00B54E03" w:rsidRPr="006E1E0F">
        <w:rPr>
          <w:rFonts w:ascii="Tahoma" w:hAnsi="Tahoma" w:cs="Tahoma"/>
          <w:b/>
          <w:i w:val="0"/>
        </w:rPr>
        <w:t>Εφοδιαστική αλυσίδα</w:t>
      </w:r>
    </w:p>
    <w:p w:rsidR="00B54E03" w:rsidRPr="006E1E0F" w:rsidRDefault="00B54E03" w:rsidP="00B54E03">
      <w:pPr>
        <w:rPr>
          <w:rFonts w:ascii="Tahoma" w:hAnsi="Tahoma" w:cs="Tahoma"/>
          <w:szCs w:val="18"/>
        </w:rPr>
      </w:pPr>
      <w:r w:rsidRPr="00C40D9E">
        <w:rPr>
          <w:rFonts w:ascii="Tahoma" w:hAnsi="Tahoma" w:cs="Tahoma"/>
          <w:szCs w:val="18"/>
        </w:rPr>
        <w:t xml:space="preserve">Η εταιρεία καλύπτει τις ανάγκες της χρησιμοποιώντας έναν επαρκώς διαφοροποιημένο αριθμό προμηθευτών ώστε να περιορίσει την εμπορική εξάρτηση. Η προμήθεια υλικών εξετάζεται κατά περίπτωση σε σχέση με τα ιδιαίτερα χαρακτηριστικά των αναγκών της </w:t>
      </w:r>
      <w:r w:rsidR="001844F3" w:rsidRPr="00C40D9E">
        <w:rPr>
          <w:rFonts w:ascii="Tahoma" w:hAnsi="Tahoma" w:cs="Tahoma"/>
          <w:szCs w:val="18"/>
        </w:rPr>
        <w:t>εταιρεία</w:t>
      </w:r>
      <w:r w:rsidRPr="00C40D9E">
        <w:rPr>
          <w:rFonts w:ascii="Tahoma" w:hAnsi="Tahoma" w:cs="Tahoma"/>
          <w:szCs w:val="18"/>
        </w:rPr>
        <w:t>ς.</w:t>
      </w:r>
    </w:p>
    <w:p w:rsidR="00B54E03" w:rsidRPr="006E1E0F" w:rsidRDefault="00B54E03" w:rsidP="00B54E03">
      <w:pPr>
        <w:rPr>
          <w:rFonts w:ascii="Tahoma" w:hAnsi="Tahoma" w:cs="Tahoma"/>
          <w:szCs w:val="18"/>
        </w:rPr>
      </w:pPr>
    </w:p>
    <w:p w:rsidR="00B54E03" w:rsidRPr="006E1E0F" w:rsidRDefault="006E1E0F" w:rsidP="006E1E0F">
      <w:pPr>
        <w:pStyle w:val="7"/>
        <w:rPr>
          <w:rFonts w:ascii="Tahoma" w:hAnsi="Tahoma" w:cs="Tahoma"/>
          <w:b/>
          <w:i w:val="0"/>
        </w:rPr>
      </w:pPr>
      <w:r w:rsidRPr="006E1E0F">
        <w:rPr>
          <w:rFonts w:ascii="Tahoma" w:hAnsi="Tahoma" w:cs="Tahoma"/>
          <w:b/>
          <w:i w:val="0"/>
        </w:rPr>
        <w:t>3</w:t>
      </w:r>
      <w:r w:rsidR="00B54E03" w:rsidRPr="006E1E0F">
        <w:rPr>
          <w:rFonts w:ascii="Tahoma" w:hAnsi="Tahoma" w:cs="Tahoma"/>
          <w:b/>
          <w:i w:val="0"/>
        </w:rPr>
        <w:t xml:space="preserve">.2. </w:t>
      </w:r>
      <w:r w:rsidRPr="006E1E0F">
        <w:rPr>
          <w:rFonts w:ascii="Tahoma" w:hAnsi="Tahoma" w:cs="Tahoma"/>
          <w:b/>
          <w:i w:val="0"/>
        </w:rPr>
        <w:tab/>
      </w:r>
      <w:r w:rsidR="00B54E03" w:rsidRPr="006E1E0F">
        <w:rPr>
          <w:rFonts w:ascii="Tahoma" w:hAnsi="Tahoma" w:cs="Tahoma"/>
          <w:b/>
          <w:i w:val="0"/>
        </w:rPr>
        <w:t>Προοπτικές για την νέα χρονιά</w:t>
      </w:r>
    </w:p>
    <w:p w:rsidR="00E55926" w:rsidRPr="006E1E0F" w:rsidRDefault="00B54E03" w:rsidP="00E55926">
      <w:pPr>
        <w:rPr>
          <w:rFonts w:ascii="Tahoma" w:hAnsi="Tahoma" w:cs="Tahoma"/>
          <w:szCs w:val="18"/>
        </w:rPr>
      </w:pPr>
      <w:r w:rsidRPr="00C40D9E">
        <w:rPr>
          <w:rFonts w:ascii="Tahoma" w:hAnsi="Tahoma" w:cs="Tahoma"/>
          <w:szCs w:val="18"/>
        </w:rPr>
        <w:t xml:space="preserve">Η εταιρεία παρακολουθεί προσεκτικά τις εξελίξεις στο κλάδο και </w:t>
      </w:r>
      <w:r w:rsidR="00E55926" w:rsidRPr="00C40D9E">
        <w:rPr>
          <w:rFonts w:ascii="Tahoma" w:hAnsi="Tahoma" w:cs="Tahoma"/>
          <w:szCs w:val="18"/>
        </w:rPr>
        <w:t xml:space="preserve">συνεχώς εκμεταλλευόμενη την φήμη της, την </w:t>
      </w:r>
      <w:proofErr w:type="spellStart"/>
      <w:r w:rsidR="00E55926" w:rsidRPr="00C40D9E">
        <w:rPr>
          <w:rFonts w:ascii="Tahoma" w:hAnsi="Tahoma" w:cs="Tahoma"/>
          <w:szCs w:val="18"/>
        </w:rPr>
        <w:t>αποκτηθείσα</w:t>
      </w:r>
      <w:proofErr w:type="spellEnd"/>
      <w:r w:rsidR="00E55926" w:rsidRPr="00C40D9E">
        <w:rPr>
          <w:rFonts w:ascii="Tahoma" w:hAnsi="Tahoma" w:cs="Tahoma"/>
          <w:szCs w:val="18"/>
        </w:rPr>
        <w:t xml:space="preserve"> εμπειρία και τις μακροχρόνιες συνεργασίες να επιτύχει την απόκτηση ακόμη μεγαλύτερου μεριδίου πωλήσεων στον κλάδο.</w:t>
      </w:r>
    </w:p>
    <w:p w:rsidR="00B54E03" w:rsidRPr="006E1E0F" w:rsidRDefault="00B54E03" w:rsidP="00B54E03">
      <w:pPr>
        <w:rPr>
          <w:rFonts w:ascii="Tahoma" w:hAnsi="Tahoma" w:cs="Tahoma"/>
          <w:szCs w:val="18"/>
        </w:rPr>
      </w:pPr>
    </w:p>
    <w:p w:rsidR="00B54E03" w:rsidRPr="006E1E0F" w:rsidRDefault="006E1E0F" w:rsidP="006E1E0F">
      <w:pPr>
        <w:pStyle w:val="7"/>
        <w:rPr>
          <w:rFonts w:ascii="Tahoma" w:hAnsi="Tahoma" w:cs="Tahoma"/>
          <w:b/>
          <w:i w:val="0"/>
        </w:rPr>
      </w:pPr>
      <w:r w:rsidRPr="006E1E0F">
        <w:rPr>
          <w:rFonts w:ascii="Tahoma" w:hAnsi="Tahoma" w:cs="Tahoma"/>
          <w:b/>
          <w:i w:val="0"/>
        </w:rPr>
        <w:t>3</w:t>
      </w:r>
      <w:r w:rsidR="00B54E03" w:rsidRPr="006E1E0F">
        <w:rPr>
          <w:rFonts w:ascii="Tahoma" w:hAnsi="Tahoma" w:cs="Tahoma"/>
          <w:b/>
          <w:i w:val="0"/>
        </w:rPr>
        <w:t>.3.</w:t>
      </w:r>
      <w:r w:rsidRPr="006E1E0F">
        <w:rPr>
          <w:rFonts w:ascii="Tahoma" w:hAnsi="Tahoma" w:cs="Tahoma"/>
          <w:b/>
          <w:i w:val="0"/>
        </w:rPr>
        <w:tab/>
      </w:r>
      <w:r w:rsidR="00B54E03" w:rsidRPr="006E1E0F">
        <w:rPr>
          <w:rFonts w:ascii="Tahoma" w:hAnsi="Tahoma" w:cs="Tahoma"/>
          <w:b/>
          <w:i w:val="0"/>
        </w:rPr>
        <w:t xml:space="preserve"> Κυριότεροι κίνδυνοι</w:t>
      </w:r>
    </w:p>
    <w:p w:rsidR="00B54E03" w:rsidRPr="006E1E0F" w:rsidRDefault="00B54E03" w:rsidP="00B54E03">
      <w:pPr>
        <w:rPr>
          <w:rFonts w:ascii="Tahoma" w:hAnsi="Tahoma" w:cs="Tahoma"/>
          <w:b/>
        </w:rPr>
      </w:pPr>
      <w:r w:rsidRPr="006E1E0F">
        <w:rPr>
          <w:rFonts w:ascii="Tahoma" w:hAnsi="Tahoma" w:cs="Tahoma"/>
          <w:b/>
        </w:rPr>
        <w:t>Κίνδυνος τιμών αγοράς αποθεμάτων / υπηρεσιών</w:t>
      </w:r>
    </w:p>
    <w:p w:rsidR="00E46D7A" w:rsidRPr="00E46D7A" w:rsidRDefault="00B54E03" w:rsidP="00E46D7A">
      <w:pPr>
        <w:rPr>
          <w:rFonts w:ascii="Tahoma" w:hAnsi="Tahoma" w:cs="Tahoma"/>
        </w:rPr>
      </w:pPr>
      <w:r w:rsidRPr="00E46D7A">
        <w:rPr>
          <w:rFonts w:ascii="Tahoma" w:hAnsi="Tahoma" w:cs="Tahoma"/>
        </w:rPr>
        <w:t xml:space="preserve">Η </w:t>
      </w:r>
      <w:r w:rsidR="001844F3" w:rsidRPr="00E46D7A">
        <w:rPr>
          <w:rFonts w:ascii="Tahoma" w:hAnsi="Tahoma" w:cs="Tahoma"/>
        </w:rPr>
        <w:t>Εταιρεία</w:t>
      </w:r>
      <w:r w:rsidRPr="00E46D7A">
        <w:rPr>
          <w:rFonts w:ascii="Tahoma" w:hAnsi="Tahoma" w:cs="Tahoma"/>
        </w:rPr>
        <w:t xml:space="preserve"> εκτίθεται σε μεταβολές της αξίας των πρώτων υλών/εμπορευμάτων. Η </w:t>
      </w:r>
      <w:r w:rsidR="001844F3" w:rsidRPr="00E46D7A">
        <w:rPr>
          <w:rFonts w:ascii="Tahoma" w:hAnsi="Tahoma" w:cs="Tahoma"/>
        </w:rPr>
        <w:t>Εταιρεία</w:t>
      </w:r>
      <w:r w:rsidRPr="00E46D7A">
        <w:rPr>
          <w:rFonts w:ascii="Tahoma" w:hAnsi="Tahoma" w:cs="Tahoma"/>
        </w:rPr>
        <w:t xml:space="preserve"> ελέγχει για τυχόν </w:t>
      </w:r>
      <w:proofErr w:type="spellStart"/>
      <w:r w:rsidRPr="00E46D7A">
        <w:rPr>
          <w:rFonts w:ascii="Tahoma" w:hAnsi="Tahoma" w:cs="Tahoma"/>
        </w:rPr>
        <w:t>απομείωση</w:t>
      </w:r>
      <w:proofErr w:type="spellEnd"/>
      <w:r w:rsidRPr="00E46D7A">
        <w:rPr>
          <w:rFonts w:ascii="Tahoma" w:hAnsi="Tahoma" w:cs="Tahoma"/>
        </w:rPr>
        <w:t xml:space="preserve"> των αποθεμάτων της αλλά και των λοιπών περιουσιακών της στοιχείων, όποτε εμφανίζονται τέτοιου είδους ενδείξεις και εφόσον συντρέχουν λόγοι απαξίωσης, προβαίνει στην απαραίτητη </w:t>
      </w:r>
      <w:proofErr w:type="spellStart"/>
      <w:r w:rsidRPr="00E46D7A">
        <w:rPr>
          <w:rFonts w:ascii="Tahoma" w:hAnsi="Tahoma" w:cs="Tahoma"/>
        </w:rPr>
        <w:t>απομείωση</w:t>
      </w:r>
      <w:proofErr w:type="spellEnd"/>
      <w:r w:rsidRPr="00E46D7A">
        <w:rPr>
          <w:rFonts w:ascii="Tahoma" w:hAnsi="Tahoma" w:cs="Tahoma"/>
        </w:rPr>
        <w:t>, ώστε η αξία τους στις οικονομικές καταστάσεις να ταυτίζεται με την πραγματική.</w:t>
      </w:r>
    </w:p>
    <w:p w:rsidR="00B54E03" w:rsidRPr="00E46D7A" w:rsidRDefault="00E46D7A" w:rsidP="00B54E03">
      <w:pPr>
        <w:rPr>
          <w:rFonts w:ascii="Tahoma" w:hAnsi="Tahoma" w:cs="Tahoma"/>
        </w:rPr>
      </w:pPr>
      <w:r w:rsidRPr="00E46D7A">
        <w:rPr>
          <w:rFonts w:ascii="Tahoma" w:hAnsi="Tahoma" w:cs="Tahoma"/>
        </w:rPr>
        <w:t xml:space="preserve"> Η Εταιρεία δραστηριοποιείται σε κλάδο με έντονο ανταγωνισμό ο οποίος μπορεί να ενταθεί περαιτέρω στην προσπάθεια άλλων εταιρειών να αποκτήσουν μεγαλύτερο μερίδιο σε ήδη ώριμες αγορές. Ωστόσο οι μακροχρόνιες συνεργασίες της Εταιρείας δημιουργούν σημαντική δικλείδα ασφαλείας για τον εν λόγω κίνδυνο.</w:t>
      </w:r>
    </w:p>
    <w:p w:rsidR="00B54E03" w:rsidRPr="006E1E0F" w:rsidRDefault="00B54E03" w:rsidP="00B54E03">
      <w:pPr>
        <w:rPr>
          <w:rFonts w:ascii="Tahoma" w:hAnsi="Tahoma" w:cs="Tahoma"/>
          <w:b/>
        </w:rPr>
      </w:pPr>
      <w:r w:rsidRPr="006E1E0F">
        <w:rPr>
          <w:rFonts w:ascii="Tahoma" w:hAnsi="Tahoma" w:cs="Tahoma"/>
          <w:b/>
        </w:rPr>
        <w:t xml:space="preserve">Συναλλαγματικός κίνδυνος </w:t>
      </w:r>
    </w:p>
    <w:p w:rsidR="004C4FF7" w:rsidRDefault="004C4FF7" w:rsidP="004C4FF7">
      <w:pPr>
        <w:rPr>
          <w:rFonts w:ascii="Tahoma" w:hAnsi="Tahoma" w:cs="Tahoma"/>
        </w:rPr>
      </w:pPr>
      <w:r w:rsidRPr="001E09AE">
        <w:rPr>
          <w:rFonts w:ascii="Tahoma" w:hAnsi="Tahoma" w:cs="Tahoma"/>
        </w:rPr>
        <w:t>Η εταιρία συναλλάσσεται με τους πελάτες και τους προμηθευτές της κατά κύριο λόγο σε ευρώ, ως εκ τούτου, δεν εκτίθεται σε μεγάλο βαθμό στις διακυμάνσεις συναλλαγματικών ισοτιμιών.</w:t>
      </w:r>
    </w:p>
    <w:p w:rsidR="004C4FF7" w:rsidRPr="002E7DB1" w:rsidRDefault="004C4FF7" w:rsidP="004C4FF7">
      <w:pPr>
        <w:rPr>
          <w:rFonts w:ascii="Tahoma" w:hAnsi="Tahoma" w:cs="Tahoma"/>
        </w:rPr>
      </w:pPr>
      <w:r w:rsidRPr="002E7DB1">
        <w:rPr>
          <w:rFonts w:ascii="Tahoma" w:hAnsi="Tahoma" w:cs="Tahoma"/>
        </w:rPr>
        <w:t xml:space="preserve"> </w:t>
      </w:r>
      <w:r>
        <w:rPr>
          <w:rFonts w:ascii="Tahoma" w:hAnsi="Tahoma" w:cs="Tahoma"/>
        </w:rPr>
        <w:t xml:space="preserve">Ωστόσο εξαιτίας της συναλλαγής της με σημαντικό πελάτη-προμηθευτή που εδρεύει στο εξωτερικό εκτίθεται </w:t>
      </w:r>
      <w:r w:rsidRPr="002E7DB1">
        <w:rPr>
          <w:rFonts w:ascii="Tahoma" w:hAnsi="Tahoma" w:cs="Tahoma"/>
        </w:rPr>
        <w:t xml:space="preserve"> </w:t>
      </w:r>
      <w:r w:rsidRPr="002E7DB1">
        <w:rPr>
          <w:rFonts w:ascii="Tahoma" w:hAnsi="Tahoma" w:cs="Tahoma" w:hint="eastAsia"/>
        </w:rPr>
        <w:t>στον</w:t>
      </w:r>
      <w:r>
        <w:rPr>
          <w:rFonts w:ascii="Tahoma" w:hAnsi="Tahoma" w:cs="Tahoma"/>
        </w:rPr>
        <w:t xml:space="preserve"> </w:t>
      </w:r>
      <w:r w:rsidRPr="002E7DB1">
        <w:rPr>
          <w:rFonts w:ascii="Tahoma" w:hAnsi="Tahoma" w:cs="Tahoma" w:hint="eastAsia"/>
        </w:rPr>
        <w:t>συναλλαγματικό</w:t>
      </w:r>
      <w:r w:rsidRPr="002E7DB1">
        <w:rPr>
          <w:rFonts w:ascii="Tahoma" w:hAnsi="Tahoma" w:cs="Tahoma"/>
        </w:rPr>
        <w:t xml:space="preserve"> </w:t>
      </w:r>
      <w:r w:rsidRPr="002E7DB1">
        <w:rPr>
          <w:rFonts w:ascii="Tahoma" w:hAnsi="Tahoma" w:cs="Tahoma" w:hint="eastAsia"/>
        </w:rPr>
        <w:t>κίνδυνο</w:t>
      </w:r>
      <w:r w:rsidRPr="002E7DB1">
        <w:rPr>
          <w:rFonts w:ascii="Tahoma" w:hAnsi="Tahoma" w:cs="Tahoma"/>
        </w:rPr>
        <w:t xml:space="preserve"> </w:t>
      </w:r>
      <w:r w:rsidRPr="002E7DB1">
        <w:rPr>
          <w:rFonts w:ascii="Tahoma" w:hAnsi="Tahoma" w:cs="Tahoma" w:hint="eastAsia"/>
        </w:rPr>
        <w:t>που</w:t>
      </w:r>
      <w:r w:rsidRPr="002E7DB1">
        <w:rPr>
          <w:rFonts w:ascii="Tahoma" w:hAnsi="Tahoma" w:cs="Tahoma"/>
        </w:rPr>
        <w:t xml:space="preserve"> </w:t>
      </w:r>
      <w:r w:rsidRPr="002E7DB1">
        <w:rPr>
          <w:rFonts w:ascii="Tahoma" w:hAnsi="Tahoma" w:cs="Tahoma" w:hint="eastAsia"/>
        </w:rPr>
        <w:t>προέρχεται</w:t>
      </w:r>
      <w:r w:rsidRPr="002E7DB1">
        <w:rPr>
          <w:rFonts w:ascii="Tahoma" w:hAnsi="Tahoma" w:cs="Tahoma"/>
        </w:rPr>
        <w:t xml:space="preserve"> </w:t>
      </w:r>
      <w:r w:rsidRPr="002E7DB1">
        <w:rPr>
          <w:rFonts w:ascii="Tahoma" w:hAnsi="Tahoma" w:cs="Tahoma" w:hint="eastAsia"/>
        </w:rPr>
        <w:t>κυρίως</w:t>
      </w:r>
      <w:r w:rsidRPr="002E7DB1">
        <w:rPr>
          <w:rFonts w:ascii="Tahoma" w:hAnsi="Tahoma" w:cs="Tahoma"/>
        </w:rPr>
        <w:t xml:space="preserve"> </w:t>
      </w:r>
      <w:r w:rsidRPr="002E7DB1">
        <w:rPr>
          <w:rFonts w:ascii="Tahoma" w:hAnsi="Tahoma" w:cs="Tahoma" w:hint="eastAsia"/>
        </w:rPr>
        <w:t>από</w:t>
      </w:r>
      <w:r w:rsidRPr="002E7DB1">
        <w:rPr>
          <w:rFonts w:ascii="Tahoma" w:hAnsi="Tahoma" w:cs="Tahoma"/>
        </w:rPr>
        <w:t xml:space="preserve"> </w:t>
      </w:r>
      <w:r w:rsidRPr="002E7DB1">
        <w:rPr>
          <w:rFonts w:ascii="Tahoma" w:hAnsi="Tahoma" w:cs="Tahoma" w:hint="eastAsia"/>
        </w:rPr>
        <w:t>τις</w:t>
      </w:r>
      <w:r w:rsidRPr="002E7DB1">
        <w:rPr>
          <w:rFonts w:ascii="Tahoma" w:hAnsi="Tahoma" w:cs="Tahoma"/>
        </w:rPr>
        <w:t xml:space="preserve"> </w:t>
      </w:r>
      <w:r w:rsidRPr="002E7DB1">
        <w:rPr>
          <w:rFonts w:ascii="Tahoma" w:hAnsi="Tahoma" w:cs="Tahoma" w:hint="eastAsia"/>
        </w:rPr>
        <w:t>μεταβολές</w:t>
      </w:r>
      <w:r w:rsidRPr="002E7DB1">
        <w:rPr>
          <w:rFonts w:ascii="Tahoma" w:hAnsi="Tahoma" w:cs="Tahoma"/>
        </w:rPr>
        <w:t xml:space="preserve"> </w:t>
      </w:r>
      <w:r w:rsidRPr="002E7DB1">
        <w:rPr>
          <w:rFonts w:ascii="Tahoma" w:hAnsi="Tahoma" w:cs="Tahoma" w:hint="eastAsia"/>
        </w:rPr>
        <w:t>της</w:t>
      </w:r>
      <w:r w:rsidRPr="002E7DB1">
        <w:rPr>
          <w:rFonts w:ascii="Tahoma" w:hAnsi="Tahoma" w:cs="Tahoma"/>
        </w:rPr>
        <w:t xml:space="preserve"> </w:t>
      </w:r>
      <w:r w:rsidRPr="002E7DB1">
        <w:rPr>
          <w:rFonts w:ascii="Tahoma" w:hAnsi="Tahoma" w:cs="Tahoma" w:hint="eastAsia"/>
        </w:rPr>
        <w:t>ισοτιμίας</w:t>
      </w:r>
      <w:r w:rsidRPr="002E7DB1">
        <w:rPr>
          <w:rFonts w:ascii="Tahoma" w:hAnsi="Tahoma" w:cs="Tahoma"/>
        </w:rPr>
        <w:t xml:space="preserve"> </w:t>
      </w:r>
      <w:r w:rsidRPr="002E7DB1">
        <w:rPr>
          <w:rFonts w:ascii="Tahoma" w:hAnsi="Tahoma" w:cs="Tahoma" w:hint="eastAsia"/>
        </w:rPr>
        <w:t>του</w:t>
      </w:r>
      <w:r w:rsidRPr="002E7DB1">
        <w:rPr>
          <w:rFonts w:ascii="Tahoma" w:hAnsi="Tahoma" w:cs="Tahoma"/>
        </w:rPr>
        <w:t xml:space="preserve"> </w:t>
      </w:r>
      <w:r w:rsidRPr="002E7DB1">
        <w:rPr>
          <w:rFonts w:ascii="Tahoma" w:hAnsi="Tahoma" w:cs="Tahoma" w:hint="eastAsia"/>
        </w:rPr>
        <w:t>δολαρίου</w:t>
      </w:r>
      <w:r w:rsidRPr="002E7DB1">
        <w:rPr>
          <w:rFonts w:ascii="Tahoma" w:hAnsi="Tahoma" w:cs="Tahoma"/>
        </w:rPr>
        <w:t xml:space="preserve"> </w:t>
      </w:r>
      <w:r w:rsidRPr="002E7DB1">
        <w:rPr>
          <w:rFonts w:ascii="Tahoma" w:hAnsi="Tahoma" w:cs="Tahoma" w:hint="eastAsia"/>
        </w:rPr>
        <w:t>των</w:t>
      </w:r>
      <w:r>
        <w:rPr>
          <w:rFonts w:ascii="Tahoma" w:hAnsi="Tahoma" w:cs="Tahoma"/>
        </w:rPr>
        <w:t xml:space="preserve"> </w:t>
      </w:r>
      <w:r w:rsidRPr="002E7DB1">
        <w:rPr>
          <w:rFonts w:ascii="Tahoma" w:hAnsi="Tahoma" w:cs="Tahoma" w:hint="eastAsia"/>
        </w:rPr>
        <w:t>ΗΠΑ</w:t>
      </w:r>
      <w:r>
        <w:rPr>
          <w:rFonts w:ascii="Tahoma" w:hAnsi="Tahoma" w:cs="Tahoma"/>
        </w:rPr>
        <w:t>.Η Εταιρεία προσπαθεί να περιορίσει τον εν λόγω κίνδυνο προγραμματίζοντας από πριν τις συναλλαγές με σκοπό το συνάλλαγμα να είναι προς το συμφέρον της.</w:t>
      </w:r>
    </w:p>
    <w:p w:rsidR="004C4FF7" w:rsidRPr="001E09AE" w:rsidRDefault="004C4FF7" w:rsidP="004C4FF7">
      <w:pPr>
        <w:rPr>
          <w:rFonts w:ascii="Tahoma" w:hAnsi="Tahoma" w:cs="Tahoma"/>
        </w:rPr>
      </w:pPr>
      <w:r w:rsidRPr="002E7DB1">
        <w:rPr>
          <w:rFonts w:ascii="Tahoma" w:hAnsi="Tahoma" w:cs="Tahoma" w:hint="eastAsia"/>
        </w:rPr>
        <w:t>Σημειώνεται</w:t>
      </w:r>
      <w:r w:rsidRPr="002E7DB1">
        <w:rPr>
          <w:rFonts w:ascii="Tahoma" w:hAnsi="Tahoma" w:cs="Tahoma"/>
        </w:rPr>
        <w:t xml:space="preserve"> </w:t>
      </w:r>
      <w:r w:rsidRPr="002E7DB1">
        <w:rPr>
          <w:rFonts w:ascii="Tahoma" w:hAnsi="Tahoma" w:cs="Tahoma" w:hint="eastAsia"/>
        </w:rPr>
        <w:t>ότι</w:t>
      </w:r>
      <w:r w:rsidRPr="002E7DB1">
        <w:rPr>
          <w:rFonts w:ascii="Tahoma" w:hAnsi="Tahoma" w:cs="Tahoma"/>
        </w:rPr>
        <w:t xml:space="preserve"> </w:t>
      </w:r>
      <w:r w:rsidRPr="002E7DB1">
        <w:rPr>
          <w:rFonts w:ascii="Tahoma" w:hAnsi="Tahoma" w:cs="Tahoma" w:hint="eastAsia"/>
        </w:rPr>
        <w:t>το</w:t>
      </w:r>
      <w:r w:rsidRPr="002E7DB1">
        <w:rPr>
          <w:rFonts w:ascii="Tahoma" w:hAnsi="Tahoma" w:cs="Tahoma"/>
        </w:rPr>
        <w:t xml:space="preserve"> </w:t>
      </w:r>
      <w:r>
        <w:rPr>
          <w:rFonts w:ascii="Tahoma" w:hAnsi="Tahoma" w:cs="Tahoma"/>
        </w:rPr>
        <w:t>στην πλειοψηφία το</w:t>
      </w:r>
      <w:r w:rsidRPr="002E7DB1">
        <w:rPr>
          <w:rFonts w:ascii="Tahoma" w:hAnsi="Tahoma" w:cs="Tahoma"/>
        </w:rPr>
        <w:t xml:space="preserve"> </w:t>
      </w:r>
      <w:r w:rsidRPr="002E7DB1">
        <w:rPr>
          <w:rFonts w:ascii="Tahoma" w:hAnsi="Tahoma" w:cs="Tahoma" w:hint="eastAsia"/>
        </w:rPr>
        <w:t>μέρος</w:t>
      </w:r>
      <w:r w:rsidRPr="002E7DB1">
        <w:rPr>
          <w:rFonts w:ascii="Tahoma" w:hAnsi="Tahoma" w:cs="Tahoma"/>
        </w:rPr>
        <w:t xml:space="preserve"> </w:t>
      </w:r>
      <w:r w:rsidRPr="002E7DB1">
        <w:rPr>
          <w:rFonts w:ascii="Tahoma" w:hAnsi="Tahoma" w:cs="Tahoma" w:hint="eastAsia"/>
        </w:rPr>
        <w:t>των</w:t>
      </w:r>
      <w:r w:rsidRPr="002E7DB1">
        <w:rPr>
          <w:rFonts w:ascii="Tahoma" w:hAnsi="Tahoma" w:cs="Tahoma"/>
        </w:rPr>
        <w:t xml:space="preserve"> </w:t>
      </w:r>
      <w:r w:rsidRPr="002E7DB1">
        <w:rPr>
          <w:rFonts w:ascii="Tahoma" w:hAnsi="Tahoma" w:cs="Tahoma" w:hint="eastAsia"/>
        </w:rPr>
        <w:t>εσόδων</w:t>
      </w:r>
      <w:r w:rsidRPr="002E7DB1">
        <w:rPr>
          <w:rFonts w:ascii="Tahoma" w:hAnsi="Tahoma" w:cs="Tahoma"/>
        </w:rPr>
        <w:t xml:space="preserve"> </w:t>
      </w:r>
      <w:r w:rsidRPr="002E7DB1">
        <w:rPr>
          <w:rFonts w:ascii="Tahoma" w:hAnsi="Tahoma" w:cs="Tahoma" w:hint="eastAsia"/>
        </w:rPr>
        <w:t>και</w:t>
      </w:r>
      <w:r>
        <w:rPr>
          <w:rFonts w:ascii="Tahoma" w:hAnsi="Tahoma" w:cs="Tahoma"/>
        </w:rPr>
        <w:t xml:space="preserve"> </w:t>
      </w:r>
      <w:r w:rsidRPr="002E7DB1">
        <w:rPr>
          <w:rFonts w:ascii="Tahoma" w:hAnsi="Tahoma" w:cs="Tahoma" w:hint="eastAsia"/>
        </w:rPr>
        <w:t>εξόδων</w:t>
      </w:r>
      <w:r w:rsidRPr="002E7DB1">
        <w:rPr>
          <w:rFonts w:ascii="Tahoma" w:hAnsi="Tahoma" w:cs="Tahoma"/>
        </w:rPr>
        <w:t xml:space="preserve"> </w:t>
      </w:r>
      <w:r w:rsidRPr="002E7DB1">
        <w:rPr>
          <w:rFonts w:ascii="Tahoma" w:hAnsi="Tahoma" w:cs="Tahoma" w:hint="eastAsia"/>
        </w:rPr>
        <w:t>της</w:t>
      </w:r>
      <w:r w:rsidRPr="002E7DB1">
        <w:rPr>
          <w:rFonts w:ascii="Tahoma" w:hAnsi="Tahoma" w:cs="Tahoma"/>
        </w:rPr>
        <w:t xml:space="preserve"> </w:t>
      </w:r>
      <w:r w:rsidRPr="002E7DB1">
        <w:rPr>
          <w:rFonts w:ascii="Tahoma" w:hAnsi="Tahoma" w:cs="Tahoma" w:hint="eastAsia"/>
        </w:rPr>
        <w:t>Εταιρείας</w:t>
      </w:r>
      <w:r w:rsidRPr="002E7DB1">
        <w:rPr>
          <w:rFonts w:ascii="Tahoma" w:hAnsi="Tahoma" w:cs="Tahoma"/>
        </w:rPr>
        <w:t xml:space="preserve"> </w:t>
      </w:r>
      <w:r w:rsidRPr="002E7DB1">
        <w:rPr>
          <w:rFonts w:ascii="Tahoma" w:hAnsi="Tahoma" w:cs="Tahoma" w:hint="eastAsia"/>
        </w:rPr>
        <w:t>είναι</w:t>
      </w:r>
      <w:r w:rsidRPr="002E7DB1">
        <w:rPr>
          <w:rFonts w:ascii="Tahoma" w:hAnsi="Tahoma" w:cs="Tahoma"/>
        </w:rPr>
        <w:t xml:space="preserve"> </w:t>
      </w:r>
      <w:r w:rsidRPr="002E7DB1">
        <w:rPr>
          <w:rFonts w:ascii="Tahoma" w:hAnsi="Tahoma" w:cs="Tahoma" w:hint="eastAsia"/>
        </w:rPr>
        <w:t>εκφρασμένο</w:t>
      </w:r>
      <w:r w:rsidRPr="002E7DB1">
        <w:rPr>
          <w:rFonts w:ascii="Tahoma" w:hAnsi="Tahoma" w:cs="Tahoma"/>
        </w:rPr>
        <w:t xml:space="preserve"> </w:t>
      </w:r>
      <w:r w:rsidRPr="002E7DB1">
        <w:rPr>
          <w:rFonts w:ascii="Tahoma" w:hAnsi="Tahoma" w:cs="Tahoma" w:hint="eastAsia"/>
        </w:rPr>
        <w:t>σε</w:t>
      </w:r>
      <w:r w:rsidRPr="002E7DB1">
        <w:rPr>
          <w:rFonts w:ascii="Tahoma" w:hAnsi="Tahoma" w:cs="Tahoma"/>
        </w:rPr>
        <w:t xml:space="preserve"> </w:t>
      </w:r>
      <w:r>
        <w:rPr>
          <w:rFonts w:ascii="Tahoma" w:hAnsi="Tahoma" w:cs="Tahoma"/>
        </w:rPr>
        <w:t>€.</w:t>
      </w:r>
    </w:p>
    <w:p w:rsidR="00B54E03" w:rsidRPr="001E09AE" w:rsidRDefault="00B54E03" w:rsidP="00B54E03">
      <w:pPr>
        <w:rPr>
          <w:rFonts w:ascii="Tahoma" w:hAnsi="Tahoma" w:cs="Tahoma"/>
          <w:b/>
        </w:rPr>
      </w:pPr>
      <w:r w:rsidRPr="001E09AE">
        <w:rPr>
          <w:rFonts w:ascii="Tahoma" w:hAnsi="Tahoma" w:cs="Tahoma"/>
          <w:b/>
        </w:rPr>
        <w:t>Κίνδυνος επιτοκίων</w:t>
      </w:r>
    </w:p>
    <w:p w:rsidR="001844F3" w:rsidRPr="001E09AE" w:rsidRDefault="00B54E03" w:rsidP="00B54E03">
      <w:pPr>
        <w:rPr>
          <w:rFonts w:ascii="Tahoma" w:hAnsi="Tahoma" w:cs="Tahoma"/>
        </w:rPr>
      </w:pPr>
      <w:r w:rsidRPr="001E09AE">
        <w:rPr>
          <w:rFonts w:ascii="Tahoma" w:hAnsi="Tahoma" w:cs="Tahoma"/>
        </w:rPr>
        <w:t xml:space="preserve">Η </w:t>
      </w:r>
      <w:r w:rsidR="001844F3" w:rsidRPr="001E09AE">
        <w:rPr>
          <w:rFonts w:ascii="Tahoma" w:hAnsi="Tahoma" w:cs="Tahoma"/>
        </w:rPr>
        <w:t>Εταιρεία</w:t>
      </w:r>
      <w:r w:rsidRPr="001E09AE">
        <w:rPr>
          <w:rFonts w:ascii="Tahoma" w:hAnsi="Tahoma" w:cs="Tahoma"/>
        </w:rPr>
        <w:t xml:space="preserve"> δεν έχει στο ενεργητικό της σημαντικά έντοκα στοιχεία, τα λειτουργικά έσοδα και οι ταμειακές ροές είναι ουσιωδώς ανεξάρτητα από μεταβολές στις τιμές των επιτοκίων. </w:t>
      </w:r>
    </w:p>
    <w:p w:rsidR="00B54E03" w:rsidRPr="006E1E0F" w:rsidRDefault="00731299" w:rsidP="00B54E03">
      <w:pPr>
        <w:rPr>
          <w:rFonts w:ascii="Tahoma" w:hAnsi="Tahoma" w:cs="Tahoma"/>
        </w:rPr>
      </w:pPr>
      <w:r>
        <w:rPr>
          <w:rFonts w:ascii="Tahoma" w:hAnsi="Tahoma" w:cs="Tahoma"/>
        </w:rPr>
        <w:t>Η Εταιρεία δεν έχει δανειακές υποχρεώσεις.</w:t>
      </w:r>
    </w:p>
    <w:p w:rsidR="00B54E03" w:rsidRPr="006E1E0F" w:rsidRDefault="00B54E03" w:rsidP="00B54E03">
      <w:pPr>
        <w:rPr>
          <w:rFonts w:ascii="Tahoma" w:hAnsi="Tahoma" w:cs="Tahoma"/>
          <w:b/>
        </w:rPr>
      </w:pPr>
      <w:r w:rsidRPr="006E1E0F">
        <w:rPr>
          <w:rFonts w:ascii="Tahoma" w:hAnsi="Tahoma" w:cs="Tahoma"/>
          <w:b/>
        </w:rPr>
        <w:t>Πιστωτικός κίνδυνος</w:t>
      </w:r>
    </w:p>
    <w:p w:rsidR="00B54E03" w:rsidRPr="001E09AE" w:rsidRDefault="00B54E03" w:rsidP="00B54E03">
      <w:pPr>
        <w:rPr>
          <w:rFonts w:ascii="Tahoma" w:hAnsi="Tahoma" w:cs="Tahoma"/>
        </w:rPr>
      </w:pPr>
      <w:r w:rsidRPr="001E09AE">
        <w:rPr>
          <w:rFonts w:ascii="Tahoma" w:hAnsi="Tahoma" w:cs="Tahoma"/>
        </w:rPr>
        <w:t xml:space="preserve">Η </w:t>
      </w:r>
      <w:r w:rsidR="001844F3" w:rsidRPr="001E09AE">
        <w:rPr>
          <w:rFonts w:ascii="Tahoma" w:hAnsi="Tahoma" w:cs="Tahoma"/>
        </w:rPr>
        <w:t>Εταιρεία</w:t>
      </w:r>
      <w:r w:rsidRPr="001E09AE">
        <w:rPr>
          <w:rFonts w:ascii="Tahoma" w:hAnsi="Tahoma" w:cs="Tahoma"/>
        </w:rPr>
        <w:t xml:space="preserve"> παρέχει αγαθά αποκλειστικά σε αναγνωρισμένα και φερέγγυα αντισυμβαλλόμενα μέρη. Είναι πολιτική της </w:t>
      </w:r>
      <w:r w:rsidR="001844F3" w:rsidRPr="001E09AE">
        <w:rPr>
          <w:rFonts w:ascii="Tahoma" w:hAnsi="Tahoma" w:cs="Tahoma"/>
        </w:rPr>
        <w:t>Εταιρεία</w:t>
      </w:r>
      <w:r w:rsidRPr="001E09AE">
        <w:rPr>
          <w:rFonts w:ascii="Tahoma" w:hAnsi="Tahoma" w:cs="Tahoma"/>
        </w:rPr>
        <w:t xml:space="preserve">ς, η υποβολή σε διαδικασίες πιστοληπτικού ελέγχου όλων των πελατών, στους οποίους παρέχονται αγαθά και υπηρεσίες επί πιστώσει. Επιπρόσθετα, οι εμπορικές απαιτήσεις παρακολουθούνται, σε συνεχή βάση, με σκοπό την ελαχιστοποίηση του κινδύνου από επισφαλείς απαιτήσεις. Όσον αφορά τον πιστωτικό κίνδυνο που προκύπτει από τα υπόλοιπα χρηματοοικονομικά περιουσιακά στοιχεία της </w:t>
      </w:r>
      <w:r w:rsidR="001844F3" w:rsidRPr="001E09AE">
        <w:rPr>
          <w:rFonts w:ascii="Tahoma" w:hAnsi="Tahoma" w:cs="Tahoma"/>
        </w:rPr>
        <w:t>Εταιρεία</w:t>
      </w:r>
      <w:r w:rsidRPr="001E09AE">
        <w:rPr>
          <w:rFonts w:ascii="Tahoma" w:hAnsi="Tahoma" w:cs="Tahoma"/>
        </w:rPr>
        <w:t xml:space="preserve">ς, που αποτελούνται από μετρητά και ισοδύναμα μετρητών, ο κίνδυνος απορρέει από τη μη τήρηση των συμβατικών όρων από τον αντισυμβαλλόμενο, με μέγιστη έκθεση ίση με τη λογιστική αξία των χρηματοπιστωτικών αυτών μέσων. </w:t>
      </w:r>
    </w:p>
    <w:p w:rsidR="00466715" w:rsidRPr="001E09AE" w:rsidRDefault="00466715" w:rsidP="00B54E03">
      <w:pPr>
        <w:rPr>
          <w:rFonts w:ascii="Tahoma" w:hAnsi="Tahoma" w:cs="Tahoma"/>
          <w:b/>
        </w:rPr>
      </w:pPr>
    </w:p>
    <w:p w:rsidR="00B54E03" w:rsidRPr="001E09AE" w:rsidRDefault="00B54E03" w:rsidP="00B54E03">
      <w:pPr>
        <w:rPr>
          <w:rFonts w:ascii="Tahoma" w:hAnsi="Tahoma" w:cs="Tahoma"/>
          <w:b/>
        </w:rPr>
      </w:pPr>
      <w:r w:rsidRPr="001E09AE">
        <w:rPr>
          <w:rFonts w:ascii="Tahoma" w:hAnsi="Tahoma" w:cs="Tahoma"/>
          <w:b/>
        </w:rPr>
        <w:t>Κίνδυνος ρευστότητας</w:t>
      </w:r>
    </w:p>
    <w:p w:rsidR="00E55926" w:rsidRPr="001E09AE" w:rsidRDefault="00E55926" w:rsidP="00E55926">
      <w:pPr>
        <w:rPr>
          <w:rFonts w:ascii="Tahoma" w:hAnsi="Tahoma" w:cs="Tahoma"/>
        </w:rPr>
      </w:pPr>
      <w:r w:rsidRPr="001E09AE">
        <w:rPr>
          <w:rFonts w:ascii="Tahoma" w:hAnsi="Tahoma" w:cs="Tahoma"/>
        </w:rPr>
        <w:t>Η συνετή διαχείριση της ρευστότητας επιτυγχάνεται με την ύπαρξη του κατάλληλου συνδυασμού ρευστών διαθεσίμων και εγκεκριμένων τραπεζικών πιστώσεων.</w:t>
      </w:r>
    </w:p>
    <w:p w:rsidR="00E55926" w:rsidRPr="001E09AE" w:rsidRDefault="00E55926" w:rsidP="00E55926">
      <w:pPr>
        <w:rPr>
          <w:rFonts w:ascii="Tahoma" w:hAnsi="Tahoma" w:cs="Tahoma"/>
        </w:rPr>
      </w:pPr>
      <w:r w:rsidRPr="001E09AE">
        <w:rPr>
          <w:rFonts w:ascii="Tahoma" w:hAnsi="Tahoma" w:cs="Tahoma"/>
        </w:rPr>
        <w:t xml:space="preserve">Η εταιρεία διαχειρίζεται τους κινδύνους που μπορεί να δημιουργηθούν από έλλειψη επαρκούς ρευστότητας, </w:t>
      </w:r>
      <w:r w:rsidRPr="001E09AE">
        <w:rPr>
          <w:rFonts w:ascii="Tahoma" w:hAnsi="Tahoma" w:cs="Tahoma"/>
        </w:rPr>
        <w:lastRenderedPageBreak/>
        <w:t>φροντίζοντας να υπάρχουν πάντα εξασφαλισμένες τραπεζικές πιστώσεις προς χρήση.</w:t>
      </w:r>
    </w:p>
    <w:p w:rsidR="00E55926" w:rsidRPr="001E09AE" w:rsidRDefault="00E55926" w:rsidP="00E55926">
      <w:pPr>
        <w:rPr>
          <w:rFonts w:ascii="Tahoma" w:hAnsi="Tahoma" w:cs="Tahoma"/>
        </w:rPr>
      </w:pPr>
      <w:r w:rsidRPr="001E09AE">
        <w:rPr>
          <w:rFonts w:ascii="Tahoma" w:hAnsi="Tahoma" w:cs="Tahoma"/>
        </w:rPr>
        <w:t>Οι υπάρχουσες διαθέσιμες αχρησιμοποίητες εγκεκριμένες τραπεζικές πιστώσεις προς την εταιρεία είναι επαρκείς ώστε να αντιμετωπιστεί οποιαδήποτε πιθανή έλλειψη ταμιακών διαθεσίμων.</w:t>
      </w:r>
    </w:p>
    <w:p w:rsidR="006E1E0F" w:rsidRPr="001E09AE" w:rsidRDefault="006E1E0F" w:rsidP="00B54E03">
      <w:pPr>
        <w:rPr>
          <w:rFonts w:ascii="Tahoma" w:hAnsi="Tahoma" w:cs="Tahoma"/>
        </w:rPr>
      </w:pPr>
    </w:p>
    <w:p w:rsidR="00B54E03" w:rsidRPr="001E09AE" w:rsidRDefault="00B54E03" w:rsidP="00B54E03">
      <w:pPr>
        <w:rPr>
          <w:rFonts w:ascii="Tahoma" w:hAnsi="Tahoma" w:cs="Tahoma"/>
          <w:b/>
        </w:rPr>
      </w:pPr>
      <w:r w:rsidRPr="001E09AE">
        <w:rPr>
          <w:rFonts w:ascii="Tahoma" w:hAnsi="Tahoma" w:cs="Tahoma"/>
          <w:b/>
        </w:rPr>
        <w:t>Κεφαλαιουχικός κίνδυνος</w:t>
      </w:r>
    </w:p>
    <w:p w:rsidR="00B54E03" w:rsidRPr="001E09AE" w:rsidRDefault="00B54E03" w:rsidP="00B54E03">
      <w:pPr>
        <w:rPr>
          <w:rFonts w:ascii="Tahoma" w:hAnsi="Tahoma" w:cs="Tahoma"/>
        </w:rPr>
      </w:pPr>
      <w:r w:rsidRPr="001E09AE">
        <w:rPr>
          <w:rFonts w:ascii="Tahoma" w:hAnsi="Tahoma" w:cs="Tahoma"/>
        </w:rPr>
        <w:t xml:space="preserve">Ο σκοπός της διαχείρισης του κεφαλαιουχικού κινδύνου είναι η εξασφάλιση της συνεχιζόμενης δραστηριότητας της </w:t>
      </w:r>
      <w:r w:rsidR="001844F3" w:rsidRPr="001E09AE">
        <w:rPr>
          <w:rFonts w:ascii="Tahoma" w:hAnsi="Tahoma" w:cs="Tahoma"/>
        </w:rPr>
        <w:t>Εταιρεία</w:t>
      </w:r>
      <w:r w:rsidRPr="001E09AE">
        <w:rPr>
          <w:rFonts w:ascii="Tahoma" w:hAnsi="Tahoma" w:cs="Tahoma"/>
        </w:rPr>
        <w:t>ς (</w:t>
      </w:r>
      <w:proofErr w:type="spellStart"/>
      <w:r w:rsidRPr="001E09AE">
        <w:rPr>
          <w:rFonts w:ascii="Tahoma" w:hAnsi="Tahoma" w:cs="Tahoma"/>
        </w:rPr>
        <w:t>going</w:t>
      </w:r>
      <w:proofErr w:type="spellEnd"/>
      <w:r w:rsidRPr="001E09AE">
        <w:rPr>
          <w:rFonts w:ascii="Tahoma" w:hAnsi="Tahoma" w:cs="Tahoma"/>
        </w:rPr>
        <w:t xml:space="preserve"> </w:t>
      </w:r>
      <w:proofErr w:type="spellStart"/>
      <w:r w:rsidRPr="001E09AE">
        <w:rPr>
          <w:rFonts w:ascii="Tahoma" w:hAnsi="Tahoma" w:cs="Tahoma"/>
        </w:rPr>
        <w:t>concern</w:t>
      </w:r>
      <w:proofErr w:type="spellEnd"/>
      <w:r w:rsidRPr="001E09AE">
        <w:rPr>
          <w:rFonts w:ascii="Tahoma" w:hAnsi="Tahoma" w:cs="Tahoma"/>
        </w:rPr>
        <w:t>) για να υπάρχουν ικανοποιητικές αποδόσεις για τους μετόχους, για να διατηρηθεί μια ιδανική κεφαλαιουχική δομή και για να μειωθεί το κόστος κεφαλαίου.</w:t>
      </w:r>
    </w:p>
    <w:p w:rsidR="00B54E03" w:rsidRPr="001E09AE" w:rsidRDefault="00B54E03" w:rsidP="00B54E03">
      <w:pPr>
        <w:rPr>
          <w:rFonts w:ascii="Tahoma" w:hAnsi="Tahoma" w:cs="Tahoma"/>
        </w:rPr>
      </w:pPr>
    </w:p>
    <w:p w:rsidR="00B54E03" w:rsidRPr="001E09AE" w:rsidRDefault="00B54E03" w:rsidP="00B54E03">
      <w:pPr>
        <w:rPr>
          <w:rFonts w:ascii="Tahoma" w:hAnsi="Tahoma" w:cs="Tahoma"/>
        </w:rPr>
      </w:pPr>
      <w:r w:rsidRPr="001E09AE">
        <w:rPr>
          <w:rFonts w:ascii="Tahoma" w:hAnsi="Tahoma" w:cs="Tahoma"/>
        </w:rPr>
        <w:t>Η διατήρηση ή η προσαρμογή της κεφαλαιουχικής δομής, μπορεί να γίνει μέσω της προσαρμογής του ποσού των μερισμάτων που πληρώνονται στους μετόχους, της επιστροφής μετοχικού κεφαλαίου στους μετόχους, της έκδοσης νέων μετοχών ή της πώλησης περιουσιακών στοιχείων για να μειωθεί ο δανεισμός.</w:t>
      </w:r>
    </w:p>
    <w:p w:rsidR="00B54E03" w:rsidRPr="001E09AE" w:rsidRDefault="00B54E03" w:rsidP="00B54E03">
      <w:pPr>
        <w:rPr>
          <w:rFonts w:ascii="Tahoma" w:hAnsi="Tahoma" w:cs="Tahoma"/>
        </w:rPr>
      </w:pPr>
    </w:p>
    <w:p w:rsidR="00B54E03" w:rsidRPr="001E09AE" w:rsidRDefault="00B54E03" w:rsidP="00B54E03">
      <w:pPr>
        <w:rPr>
          <w:rFonts w:ascii="Tahoma" w:hAnsi="Tahoma" w:cs="Tahoma"/>
        </w:rPr>
      </w:pPr>
      <w:r w:rsidRPr="001E09AE">
        <w:rPr>
          <w:rFonts w:ascii="Tahoma" w:hAnsi="Tahoma" w:cs="Tahoma"/>
        </w:rPr>
        <w:t xml:space="preserve">Η </w:t>
      </w:r>
      <w:r w:rsidR="001844F3" w:rsidRPr="001E09AE">
        <w:rPr>
          <w:rFonts w:ascii="Tahoma" w:hAnsi="Tahoma" w:cs="Tahoma"/>
        </w:rPr>
        <w:t>Εταιρεία</w:t>
      </w:r>
      <w:r w:rsidRPr="001E09AE">
        <w:rPr>
          <w:rFonts w:ascii="Tahoma" w:hAnsi="Tahoma" w:cs="Tahoma"/>
        </w:rPr>
        <w:t xml:space="preserve"> δεν διατρέχει κεφαλαιουχικό κίνδυνο καθώς οι βασικοί δείκτες ρευστότητας για τις τελευταίες δύο χρήσεις αποτυπώνουν μεγάλη ρευστότητα και επάρκεια σε κεφάλαιο κίνησης ενώ </w:t>
      </w:r>
      <w:r w:rsidR="006E1E0F" w:rsidRPr="001E09AE">
        <w:rPr>
          <w:rFonts w:ascii="Tahoma" w:hAnsi="Tahoma" w:cs="Tahoma"/>
        </w:rPr>
        <w:t>ο</w:t>
      </w:r>
      <w:r w:rsidRPr="001E09AE">
        <w:rPr>
          <w:rFonts w:ascii="Tahoma" w:hAnsi="Tahoma" w:cs="Tahoma"/>
        </w:rPr>
        <w:t xml:space="preserve"> δανεισμός</w:t>
      </w:r>
      <w:r w:rsidR="006E1E0F" w:rsidRPr="001E09AE">
        <w:rPr>
          <w:rFonts w:ascii="Tahoma" w:hAnsi="Tahoma" w:cs="Tahoma"/>
        </w:rPr>
        <w:t xml:space="preserve"> </w:t>
      </w:r>
      <w:r w:rsidR="00E93A1A">
        <w:rPr>
          <w:rFonts w:ascii="Tahoma" w:hAnsi="Tahoma" w:cs="Tahoma"/>
        </w:rPr>
        <w:t>παραμένει σε μηδενικά επίπεδα</w:t>
      </w:r>
      <w:r w:rsidR="00E55926" w:rsidRPr="001E09AE">
        <w:rPr>
          <w:rFonts w:ascii="Tahoma" w:hAnsi="Tahoma" w:cs="Tahoma"/>
        </w:rPr>
        <w:t>.</w:t>
      </w:r>
    </w:p>
    <w:p w:rsidR="00B54E03" w:rsidRPr="001E09AE" w:rsidRDefault="00B54E03" w:rsidP="00B54E03">
      <w:pPr>
        <w:rPr>
          <w:rFonts w:ascii="Tahoma" w:hAnsi="Tahoma" w:cs="Tahoma"/>
        </w:rPr>
      </w:pPr>
    </w:p>
    <w:p w:rsidR="00B54E03" w:rsidRPr="001E09AE" w:rsidRDefault="00B54E03" w:rsidP="006E1E0F">
      <w:pPr>
        <w:pStyle w:val="7"/>
        <w:numPr>
          <w:ilvl w:val="0"/>
          <w:numId w:val="19"/>
        </w:numPr>
        <w:rPr>
          <w:rFonts w:ascii="Tahoma" w:hAnsi="Tahoma" w:cs="Tahoma"/>
          <w:b/>
          <w:i w:val="0"/>
          <w:sz w:val="24"/>
          <w:szCs w:val="24"/>
        </w:rPr>
      </w:pPr>
      <w:bookmarkStart w:id="1" w:name="_Toc479317190"/>
      <w:bookmarkStart w:id="2" w:name="_Toc201462654"/>
      <w:r w:rsidRPr="001E09AE">
        <w:rPr>
          <w:rFonts w:ascii="Tahoma" w:hAnsi="Tahoma" w:cs="Tahoma"/>
          <w:b/>
          <w:i w:val="0"/>
          <w:sz w:val="24"/>
          <w:szCs w:val="24"/>
        </w:rPr>
        <w:t>Περιβαλλοντικά και λοιπά θέματα</w:t>
      </w:r>
      <w:bookmarkEnd w:id="1"/>
    </w:p>
    <w:p w:rsidR="00B54E03" w:rsidRPr="001E09AE" w:rsidRDefault="00B54E03" w:rsidP="00B54E03">
      <w:pPr>
        <w:rPr>
          <w:rFonts w:ascii="Tahoma" w:hAnsi="Tahoma" w:cs="Tahoma"/>
          <w:b/>
        </w:rPr>
      </w:pPr>
      <w:r w:rsidRPr="001E09AE">
        <w:rPr>
          <w:rFonts w:ascii="Tahoma" w:hAnsi="Tahoma" w:cs="Tahoma"/>
          <w:b/>
        </w:rPr>
        <w:t>Συμμόρφωση με την περιβαλλοντική νομοθεσία</w:t>
      </w:r>
    </w:p>
    <w:p w:rsidR="00B54E03" w:rsidRPr="001E09AE" w:rsidRDefault="001E09AE" w:rsidP="00B54E03">
      <w:pPr>
        <w:rPr>
          <w:rFonts w:ascii="Tahoma" w:hAnsi="Tahoma" w:cs="Tahoma"/>
        </w:rPr>
      </w:pPr>
      <w:r>
        <w:rPr>
          <w:rFonts w:ascii="Tahoma" w:hAnsi="Tahoma" w:cs="Tahoma"/>
        </w:rPr>
        <w:t xml:space="preserve">Η Εταιρεία </w:t>
      </w:r>
      <w:r w:rsidRPr="001E09AE">
        <w:rPr>
          <w:rFonts w:ascii="Tahoma" w:hAnsi="Tahoma" w:cs="Tahoma"/>
        </w:rPr>
        <w:t xml:space="preserve">αναγνωρίζει την ευθύνη  για την προστασία του περιβάλλοντος και την ελαχιστοποίηση των περιβαλλοντικών επιπτώσεων ως απόρροια της λειτουργίας των παραγωγικών </w:t>
      </w:r>
      <w:r>
        <w:rPr>
          <w:rFonts w:ascii="Tahoma" w:hAnsi="Tahoma" w:cs="Tahoma"/>
        </w:rPr>
        <w:t>της</w:t>
      </w:r>
      <w:r w:rsidRPr="001E09AE">
        <w:rPr>
          <w:rFonts w:ascii="Tahoma" w:hAnsi="Tahoma" w:cs="Tahoma"/>
        </w:rPr>
        <w:t xml:space="preserve"> εγκαταστάσεων</w:t>
      </w:r>
      <w:r w:rsidR="00B54E03" w:rsidRPr="001E09AE">
        <w:rPr>
          <w:rFonts w:ascii="Tahoma" w:hAnsi="Tahoma" w:cs="Tahoma"/>
        </w:rPr>
        <w:t>. Όλες οι δραστηριότητες εκτελούνται σύμφωνα με την κείμενη νομοθεσία, τις απαιτήσεις και προδιαγραφές προστασίας του περιβάλλοντος ελαχιστοποιώντας κάθε τύπου όχληση.</w:t>
      </w:r>
    </w:p>
    <w:p w:rsidR="00B54E03" w:rsidRPr="001E09AE" w:rsidRDefault="00B54E03" w:rsidP="00B54E03">
      <w:pPr>
        <w:rPr>
          <w:rFonts w:ascii="Tahoma" w:hAnsi="Tahoma" w:cs="Tahoma"/>
        </w:rPr>
      </w:pPr>
    </w:p>
    <w:p w:rsidR="00B54E03" w:rsidRPr="001E09AE" w:rsidRDefault="00B54E03" w:rsidP="001844F3">
      <w:pPr>
        <w:pStyle w:val="7"/>
        <w:numPr>
          <w:ilvl w:val="0"/>
          <w:numId w:val="19"/>
        </w:numPr>
        <w:rPr>
          <w:rFonts w:ascii="Tahoma" w:hAnsi="Tahoma" w:cs="Tahoma"/>
          <w:b/>
          <w:i w:val="0"/>
          <w:sz w:val="24"/>
          <w:szCs w:val="24"/>
        </w:rPr>
      </w:pPr>
      <w:r w:rsidRPr="001E09AE">
        <w:rPr>
          <w:rFonts w:ascii="Tahoma" w:hAnsi="Tahoma" w:cs="Tahoma"/>
          <w:b/>
          <w:i w:val="0"/>
          <w:sz w:val="24"/>
          <w:szCs w:val="24"/>
        </w:rPr>
        <w:t>Πολιτική ανθρώπινου δυναμικού</w:t>
      </w:r>
    </w:p>
    <w:p w:rsidR="00B54E03" w:rsidRPr="001E09AE" w:rsidRDefault="00B54E03" w:rsidP="00B54E03">
      <w:pPr>
        <w:rPr>
          <w:rFonts w:ascii="Tahoma" w:hAnsi="Tahoma" w:cs="Tahoma"/>
        </w:rPr>
      </w:pPr>
      <w:r w:rsidRPr="001E09AE">
        <w:rPr>
          <w:rFonts w:ascii="Tahoma" w:hAnsi="Tahoma" w:cs="Tahoma"/>
        </w:rPr>
        <w:t xml:space="preserve">Τα μεγέθη που αφορούν στο απασχολούμενο προσωπικό παρατίθενται στην σημείωση </w:t>
      </w:r>
      <w:r w:rsidR="00223838" w:rsidRPr="001E09AE">
        <w:rPr>
          <w:rFonts w:ascii="Tahoma" w:hAnsi="Tahoma" w:cs="Tahoma"/>
        </w:rPr>
        <w:t>7.6</w:t>
      </w:r>
      <w:r w:rsidRPr="001E09AE">
        <w:rPr>
          <w:rFonts w:ascii="Tahoma" w:hAnsi="Tahoma" w:cs="Tahoma"/>
        </w:rPr>
        <w:t xml:space="preserve"> του προσαρτήματος.</w:t>
      </w:r>
    </w:p>
    <w:p w:rsidR="00B54E03" w:rsidRPr="001E09AE" w:rsidRDefault="00B54E03" w:rsidP="00B54E03">
      <w:pPr>
        <w:rPr>
          <w:rFonts w:ascii="Tahoma" w:hAnsi="Tahoma" w:cs="Tahoma"/>
        </w:rPr>
      </w:pPr>
      <w:r w:rsidRPr="001E09AE">
        <w:rPr>
          <w:rFonts w:ascii="Tahoma" w:hAnsi="Tahoma" w:cs="Tahoma"/>
        </w:rPr>
        <w:t>Οι εργασιακές σχέσεις βρίσκονται σε άριστο επίπεδο, αφού η διαμόρφωσή τους, πέραν των προβλεπόμενων από τις σχετικές διατάξεις, βασίζεται πάνω στο σεβασμό των ανθρώπινων δικαιωμάτων και των εργασιακών ελευθεριών, πάνω στην ανάπτυξη πνεύματος αμοιβαίας κατανόησης και συνεργασίας, καθώς και στη καθιέρωση πολιτικών διοίκησης ανθρώπινου δυναμικού που καθορίζουν με σαφή και αμερόληπτο τρόπο όλα τα θέματα προσλήψεων, μετακινήσεων, προαγωγών, εκπαίδευσης, αμοιβών, πρόσθετων παροχών, αδειών και απουσιών. Στη χρήση δεν σημειώθηκε καμία απεργιακή κινητοποίηση, ενώ και το συνδικαλιστικό δικαίωμα είναι απολύτως σεβαστό.</w:t>
      </w:r>
    </w:p>
    <w:p w:rsidR="00B54E03" w:rsidRPr="001E09AE" w:rsidRDefault="00B54E03" w:rsidP="00B54E03">
      <w:pPr>
        <w:rPr>
          <w:rFonts w:ascii="Tahoma" w:hAnsi="Tahoma" w:cs="Tahoma"/>
        </w:rPr>
      </w:pPr>
    </w:p>
    <w:p w:rsidR="00B54E03" w:rsidRPr="001E09AE" w:rsidRDefault="00B54E03" w:rsidP="00B54E03">
      <w:pPr>
        <w:rPr>
          <w:rFonts w:ascii="Tahoma" w:hAnsi="Tahoma" w:cs="Tahoma"/>
        </w:rPr>
      </w:pPr>
      <w:r w:rsidRPr="001E09AE">
        <w:rPr>
          <w:rFonts w:ascii="Tahoma" w:hAnsi="Tahoma" w:cs="Tahoma"/>
        </w:rPr>
        <w:t>Η εταιρεία συμμορφώνεται με την εργατική νομοθεσία και τις συλλογικές συμβάσεις όπου αυτές έχουν εφαρμογή, συμπεριλαμβανομένων των κανόνων υγιεινής και ασφαλείας.</w:t>
      </w:r>
    </w:p>
    <w:p w:rsidR="00B54E03" w:rsidRPr="001E09AE" w:rsidRDefault="00B54E03" w:rsidP="00B54E03">
      <w:pPr>
        <w:rPr>
          <w:rFonts w:ascii="Tahoma" w:hAnsi="Tahoma" w:cs="Tahoma"/>
        </w:rPr>
      </w:pPr>
    </w:p>
    <w:p w:rsidR="00B54E03" w:rsidRPr="001E09AE" w:rsidRDefault="00B54E03" w:rsidP="00B54E03">
      <w:pPr>
        <w:rPr>
          <w:rFonts w:ascii="Tahoma" w:hAnsi="Tahoma" w:cs="Tahoma"/>
        </w:rPr>
      </w:pPr>
      <w:r w:rsidRPr="001E09AE">
        <w:rPr>
          <w:rFonts w:ascii="Tahoma" w:hAnsi="Tahoma" w:cs="Tahoma"/>
        </w:rPr>
        <w:t xml:space="preserve">Η εταιρεία επιθυμεί να εκπαιδεύεται και να επιμορφώνεται τακτικά το ανθρώπινο δυναμικό της βάσει των επαγγελματικών απαιτήσεων και λειτουργικών ή και ατομικών αναγκών. </w:t>
      </w:r>
    </w:p>
    <w:p w:rsidR="00B54E03" w:rsidRPr="001E09AE" w:rsidRDefault="00B54E03" w:rsidP="00B54E03">
      <w:pPr>
        <w:rPr>
          <w:rFonts w:ascii="Tahoma" w:hAnsi="Tahoma" w:cs="Tahoma"/>
        </w:rPr>
      </w:pPr>
    </w:p>
    <w:p w:rsidR="00B54E03" w:rsidRPr="001E09AE" w:rsidRDefault="00B54E03" w:rsidP="001844F3">
      <w:pPr>
        <w:pStyle w:val="7"/>
        <w:numPr>
          <w:ilvl w:val="0"/>
          <w:numId w:val="19"/>
        </w:numPr>
        <w:rPr>
          <w:rFonts w:ascii="Tahoma" w:hAnsi="Tahoma" w:cs="Tahoma"/>
          <w:b/>
          <w:i w:val="0"/>
          <w:sz w:val="24"/>
          <w:szCs w:val="24"/>
        </w:rPr>
      </w:pPr>
      <w:r w:rsidRPr="001E09AE">
        <w:rPr>
          <w:rFonts w:ascii="Tahoma" w:hAnsi="Tahoma" w:cs="Tahoma"/>
          <w:b/>
          <w:i w:val="0"/>
          <w:sz w:val="24"/>
          <w:szCs w:val="24"/>
        </w:rPr>
        <w:lastRenderedPageBreak/>
        <w:t>Μη χρηματοοικονομικοί δείκτες</w:t>
      </w:r>
    </w:p>
    <w:p w:rsidR="00B54E03" w:rsidRPr="001E09AE" w:rsidRDefault="00B54E03" w:rsidP="00B54E03">
      <w:pPr>
        <w:rPr>
          <w:rFonts w:ascii="Tahoma" w:hAnsi="Tahoma" w:cs="Tahoma"/>
          <w:szCs w:val="18"/>
        </w:rPr>
      </w:pPr>
      <w:r w:rsidRPr="001E09AE">
        <w:rPr>
          <w:rFonts w:ascii="Tahoma" w:hAnsi="Tahoma" w:cs="Tahoma"/>
          <w:szCs w:val="18"/>
        </w:rPr>
        <w:t xml:space="preserve">Στην </w:t>
      </w:r>
      <w:proofErr w:type="spellStart"/>
      <w:r w:rsidRPr="001E09AE">
        <w:rPr>
          <w:rFonts w:ascii="Tahoma" w:hAnsi="Tahoma" w:cs="Tahoma"/>
          <w:szCs w:val="18"/>
        </w:rPr>
        <w:t>κλειόμενη</w:t>
      </w:r>
      <w:proofErr w:type="spellEnd"/>
      <w:r w:rsidRPr="001E09AE">
        <w:rPr>
          <w:rFonts w:ascii="Tahoma" w:hAnsi="Tahoma" w:cs="Tahoma"/>
          <w:szCs w:val="18"/>
        </w:rPr>
        <w:t xml:space="preserve"> χρήση δεν έχουν προκύψει αξιοσημείωτοι μη χρηματοοικονομικοί δείκτες που να χρήζουν ιδιαίτερης αναφοράς.</w:t>
      </w:r>
    </w:p>
    <w:p w:rsidR="00B54E03" w:rsidRPr="001E09AE" w:rsidRDefault="00B54E03" w:rsidP="00FB299C"/>
    <w:p w:rsidR="00B54E03" w:rsidRPr="001E09AE" w:rsidRDefault="00B54E03" w:rsidP="001844F3">
      <w:pPr>
        <w:pStyle w:val="7"/>
        <w:numPr>
          <w:ilvl w:val="0"/>
          <w:numId w:val="19"/>
        </w:numPr>
        <w:rPr>
          <w:rFonts w:ascii="Tahoma" w:hAnsi="Tahoma" w:cs="Tahoma"/>
          <w:b/>
          <w:i w:val="0"/>
          <w:sz w:val="24"/>
          <w:szCs w:val="24"/>
        </w:rPr>
      </w:pPr>
      <w:bookmarkStart w:id="3" w:name="_Toc479317191"/>
      <w:r w:rsidRPr="001E09AE">
        <w:rPr>
          <w:rFonts w:ascii="Tahoma" w:hAnsi="Tahoma" w:cs="Tahoma"/>
          <w:b/>
          <w:i w:val="0"/>
          <w:sz w:val="24"/>
          <w:szCs w:val="24"/>
        </w:rPr>
        <w:t>Λοιπά θέμα</w:t>
      </w:r>
      <w:bookmarkEnd w:id="3"/>
      <w:r w:rsidRPr="001E09AE">
        <w:rPr>
          <w:rFonts w:ascii="Tahoma" w:hAnsi="Tahoma" w:cs="Tahoma"/>
          <w:b/>
          <w:i w:val="0"/>
          <w:sz w:val="24"/>
          <w:szCs w:val="24"/>
        </w:rPr>
        <w:t>τα</w:t>
      </w:r>
    </w:p>
    <w:p w:rsidR="00B54E03" w:rsidRPr="001E09AE" w:rsidRDefault="00B54E03" w:rsidP="001844F3">
      <w:pPr>
        <w:pStyle w:val="7"/>
        <w:rPr>
          <w:rFonts w:ascii="Tahoma" w:hAnsi="Tahoma" w:cs="Tahoma"/>
          <w:b/>
          <w:i w:val="0"/>
        </w:rPr>
      </w:pPr>
      <w:r w:rsidRPr="001E09AE">
        <w:rPr>
          <w:rFonts w:ascii="Tahoma" w:hAnsi="Tahoma" w:cs="Tahoma"/>
          <w:b/>
          <w:i w:val="0"/>
        </w:rPr>
        <w:t>7.1.</w:t>
      </w:r>
      <w:r w:rsidR="001844F3" w:rsidRPr="001E09AE">
        <w:rPr>
          <w:rFonts w:ascii="Tahoma" w:hAnsi="Tahoma" w:cs="Tahoma"/>
          <w:b/>
          <w:i w:val="0"/>
        </w:rPr>
        <w:tab/>
      </w:r>
      <w:r w:rsidRPr="001E09AE">
        <w:rPr>
          <w:rFonts w:ascii="Tahoma" w:hAnsi="Tahoma" w:cs="Tahoma"/>
          <w:b/>
          <w:i w:val="0"/>
        </w:rPr>
        <w:t xml:space="preserve"> Προβλεπόμενη εξέλιξη</w:t>
      </w:r>
    </w:p>
    <w:p w:rsidR="00B248D3" w:rsidRPr="001E09AE" w:rsidRDefault="00B248D3" w:rsidP="00B248D3">
      <w:pPr>
        <w:rPr>
          <w:rFonts w:ascii="Tahoma" w:hAnsi="Tahoma" w:cs="Tahoma"/>
          <w:szCs w:val="18"/>
        </w:rPr>
      </w:pPr>
      <w:r w:rsidRPr="001E09AE">
        <w:rPr>
          <w:rFonts w:ascii="Tahoma" w:hAnsi="Tahoma" w:cs="Tahoma"/>
          <w:szCs w:val="18"/>
        </w:rPr>
        <w:t xml:space="preserve">Η </w:t>
      </w:r>
      <w:r w:rsidRPr="001E09AE">
        <w:rPr>
          <w:rFonts w:ascii="Tahoma" w:hAnsi="Tahoma" w:cs="Tahoma"/>
          <w:bCs/>
          <w:szCs w:val="18"/>
        </w:rPr>
        <w:t>εταιρεία</w:t>
      </w:r>
      <w:r w:rsidRPr="001E09AE">
        <w:rPr>
          <w:rFonts w:ascii="Tahoma" w:hAnsi="Tahoma" w:cs="Tahoma"/>
          <w:szCs w:val="18"/>
        </w:rPr>
        <w:t xml:space="preserve"> ανταποκρινόμενη στις απαιτήσεις της σύγχρονης επιχειρηματικής πραγματικότητας, στοχεύει στη συνεχή βελτίωση της οργανωτικής της δομής και της εσωτερικής της επικοινωνίας και αποσκοπεί στην ταχύτερη και καλύτερη ανταπόκρισή της στις απαιτήσεις και προσδοκίες των πελατών. </w:t>
      </w:r>
    </w:p>
    <w:p w:rsidR="00B248D3" w:rsidRPr="001E09AE" w:rsidRDefault="00B248D3" w:rsidP="00B248D3">
      <w:pPr>
        <w:rPr>
          <w:rFonts w:ascii="Tahoma" w:hAnsi="Tahoma" w:cs="Tahoma"/>
          <w:szCs w:val="18"/>
        </w:rPr>
      </w:pPr>
      <w:r w:rsidRPr="001E09AE">
        <w:rPr>
          <w:rFonts w:ascii="Tahoma" w:hAnsi="Tahoma" w:cs="Tahoma"/>
          <w:szCs w:val="18"/>
        </w:rPr>
        <w:t>Η Διοίκηση της εταιρείας αξιολογεί σε συνεχή βάση τους παράγοντες που επηρεάζουν την πορεία της και σχεδιάζει ενέργειες βελτιστοποίησης της απόδοσης της.</w:t>
      </w:r>
    </w:p>
    <w:p w:rsidR="00B54E03" w:rsidRPr="001E09AE" w:rsidRDefault="00B54E03" w:rsidP="00B54E03">
      <w:pPr>
        <w:autoSpaceDE w:val="0"/>
        <w:autoSpaceDN w:val="0"/>
        <w:rPr>
          <w:rFonts w:ascii="Tahoma" w:hAnsi="Tahoma" w:cs="Tahoma"/>
          <w:szCs w:val="18"/>
        </w:rPr>
      </w:pPr>
    </w:p>
    <w:p w:rsidR="00B54E03" w:rsidRPr="001E09AE" w:rsidRDefault="00B54E03" w:rsidP="001844F3">
      <w:pPr>
        <w:pStyle w:val="7"/>
        <w:rPr>
          <w:rFonts w:ascii="Tahoma" w:hAnsi="Tahoma" w:cs="Tahoma"/>
          <w:b/>
          <w:szCs w:val="18"/>
        </w:rPr>
      </w:pPr>
      <w:r w:rsidRPr="001E09AE">
        <w:rPr>
          <w:rFonts w:ascii="Tahoma" w:hAnsi="Tahoma" w:cs="Tahoma"/>
          <w:b/>
          <w:i w:val="0"/>
        </w:rPr>
        <w:t xml:space="preserve">7.2. </w:t>
      </w:r>
      <w:r w:rsidR="001844F3" w:rsidRPr="001E09AE">
        <w:rPr>
          <w:rFonts w:ascii="Tahoma" w:hAnsi="Tahoma" w:cs="Tahoma"/>
          <w:b/>
          <w:i w:val="0"/>
        </w:rPr>
        <w:tab/>
      </w:r>
      <w:r w:rsidRPr="001E09AE">
        <w:rPr>
          <w:rFonts w:ascii="Tahoma" w:hAnsi="Tahoma" w:cs="Tahoma"/>
          <w:b/>
          <w:i w:val="0"/>
        </w:rPr>
        <w:t>Έρευνα και ανάπτυξη</w:t>
      </w:r>
    </w:p>
    <w:p w:rsidR="00B54E03" w:rsidRPr="001E09AE" w:rsidRDefault="00B54E03" w:rsidP="00B54E03">
      <w:pPr>
        <w:autoSpaceDE w:val="0"/>
        <w:autoSpaceDN w:val="0"/>
        <w:rPr>
          <w:rFonts w:ascii="Tahoma" w:hAnsi="Tahoma" w:cs="Tahoma"/>
          <w:szCs w:val="18"/>
        </w:rPr>
      </w:pPr>
      <w:r w:rsidRPr="001E09AE">
        <w:rPr>
          <w:rFonts w:ascii="Tahoma" w:hAnsi="Tahoma" w:cs="Tahoma"/>
          <w:szCs w:val="18"/>
        </w:rPr>
        <w:t>Η εταιρεία δεν διεξάγει έρευνα και δεν διαθέτει τμήμα ανάπτυξης.</w:t>
      </w:r>
    </w:p>
    <w:p w:rsidR="00B54E03" w:rsidRPr="001E09AE" w:rsidRDefault="00B54E03" w:rsidP="00B54E03">
      <w:pPr>
        <w:autoSpaceDE w:val="0"/>
        <w:autoSpaceDN w:val="0"/>
        <w:rPr>
          <w:rFonts w:ascii="Tahoma" w:hAnsi="Tahoma" w:cs="Tahoma"/>
          <w:szCs w:val="18"/>
        </w:rPr>
      </w:pPr>
    </w:p>
    <w:p w:rsidR="00B54E03" w:rsidRPr="001E09AE" w:rsidRDefault="00B54E03" w:rsidP="001844F3">
      <w:pPr>
        <w:pStyle w:val="7"/>
        <w:rPr>
          <w:rFonts w:ascii="Tahoma" w:hAnsi="Tahoma" w:cs="Tahoma"/>
          <w:b/>
          <w:i w:val="0"/>
        </w:rPr>
      </w:pPr>
      <w:r w:rsidRPr="001E09AE">
        <w:rPr>
          <w:rFonts w:ascii="Tahoma" w:hAnsi="Tahoma" w:cs="Tahoma"/>
          <w:b/>
          <w:i w:val="0"/>
        </w:rPr>
        <w:t xml:space="preserve">7.3. </w:t>
      </w:r>
      <w:r w:rsidR="001844F3" w:rsidRPr="001E09AE">
        <w:rPr>
          <w:rFonts w:ascii="Tahoma" w:hAnsi="Tahoma" w:cs="Tahoma"/>
          <w:b/>
          <w:i w:val="0"/>
        </w:rPr>
        <w:tab/>
      </w:r>
      <w:r w:rsidRPr="001E09AE">
        <w:rPr>
          <w:rFonts w:ascii="Tahoma" w:hAnsi="Tahoma" w:cs="Tahoma"/>
          <w:b/>
          <w:i w:val="0"/>
        </w:rPr>
        <w:t>Υποκαταστήματα</w:t>
      </w:r>
    </w:p>
    <w:p w:rsidR="00B54E03" w:rsidRPr="001E09AE" w:rsidRDefault="004D1E60" w:rsidP="001844F3">
      <w:pPr>
        <w:autoSpaceDE w:val="0"/>
        <w:autoSpaceDN w:val="0"/>
        <w:rPr>
          <w:rFonts w:ascii="Tahoma" w:hAnsi="Tahoma" w:cs="Tahoma"/>
          <w:szCs w:val="18"/>
        </w:rPr>
      </w:pPr>
      <w:r>
        <w:rPr>
          <w:rFonts w:ascii="Tahoma" w:hAnsi="Tahoma" w:cs="Tahoma"/>
          <w:szCs w:val="18"/>
        </w:rPr>
        <w:t>Η εταιρεία διαθέτει υποκατάστημα στην ΒΙ.ΠΕ. Κομοτηνής</w:t>
      </w:r>
      <w:r w:rsidR="00B54E03" w:rsidRPr="004C4FF7">
        <w:rPr>
          <w:rFonts w:ascii="Tahoma" w:hAnsi="Tahoma" w:cs="Tahoma"/>
          <w:szCs w:val="18"/>
        </w:rPr>
        <w:t>.</w:t>
      </w:r>
      <w:r w:rsidR="00B54E03" w:rsidRPr="001E09AE">
        <w:rPr>
          <w:rFonts w:ascii="Tahoma" w:hAnsi="Tahoma" w:cs="Tahoma"/>
          <w:szCs w:val="18"/>
        </w:rPr>
        <w:t xml:space="preserve"> </w:t>
      </w:r>
    </w:p>
    <w:p w:rsidR="00B54E03" w:rsidRPr="001E09AE" w:rsidRDefault="00B54E03" w:rsidP="001844F3">
      <w:pPr>
        <w:autoSpaceDE w:val="0"/>
        <w:autoSpaceDN w:val="0"/>
        <w:rPr>
          <w:rFonts w:ascii="Tahoma" w:hAnsi="Tahoma" w:cs="Tahoma"/>
          <w:szCs w:val="18"/>
        </w:rPr>
      </w:pPr>
    </w:p>
    <w:p w:rsidR="00B54E03" w:rsidRPr="001E09AE" w:rsidRDefault="001844F3" w:rsidP="001844F3">
      <w:pPr>
        <w:pStyle w:val="7"/>
        <w:numPr>
          <w:ilvl w:val="1"/>
          <w:numId w:val="20"/>
        </w:numPr>
        <w:rPr>
          <w:rFonts w:ascii="Tahoma" w:hAnsi="Tahoma" w:cs="Tahoma"/>
          <w:b/>
          <w:i w:val="0"/>
        </w:rPr>
      </w:pPr>
      <w:bookmarkStart w:id="4" w:name="_Toc485598552"/>
      <w:bookmarkEnd w:id="2"/>
      <w:r w:rsidRPr="001E09AE">
        <w:rPr>
          <w:rFonts w:ascii="Tahoma" w:hAnsi="Tahoma" w:cs="Tahoma"/>
          <w:b/>
          <w:i w:val="0"/>
        </w:rPr>
        <w:t>Σ</w:t>
      </w:r>
      <w:r w:rsidR="00B54E03" w:rsidRPr="001E09AE">
        <w:rPr>
          <w:rFonts w:ascii="Tahoma" w:hAnsi="Tahoma" w:cs="Tahoma"/>
          <w:b/>
          <w:i w:val="0"/>
        </w:rPr>
        <w:t>ημαντικά γεγονότα που συνέβησαν από τη λήξη της χρήσης μέχρι την ημερομηνία υποβολής της παρούσας έκθεσης</w:t>
      </w:r>
      <w:bookmarkEnd w:id="4"/>
    </w:p>
    <w:p w:rsidR="00B54E03" w:rsidRPr="001E09AE" w:rsidRDefault="00B54E03" w:rsidP="001844F3">
      <w:pPr>
        <w:autoSpaceDE w:val="0"/>
        <w:autoSpaceDN w:val="0"/>
        <w:rPr>
          <w:rFonts w:ascii="Tahoma" w:hAnsi="Tahoma" w:cs="Tahoma"/>
          <w:szCs w:val="18"/>
        </w:rPr>
      </w:pPr>
      <w:r w:rsidRPr="001E09AE">
        <w:rPr>
          <w:rFonts w:ascii="Tahoma" w:hAnsi="Tahoma" w:cs="Tahoma"/>
          <w:szCs w:val="18"/>
        </w:rPr>
        <w:t xml:space="preserve">Μέχρι την ημερομηνία υποβολής της Έκθεσης αυτής δεν έχει συμβεί κανένα άλλο γεγονός, που θα μπορούσε να επηρεάσει σημαντικά την οικονομική θέση και την πορεία της </w:t>
      </w:r>
      <w:r w:rsidR="001844F3" w:rsidRPr="001E09AE">
        <w:rPr>
          <w:rFonts w:ascii="Tahoma" w:hAnsi="Tahoma" w:cs="Tahoma"/>
          <w:szCs w:val="18"/>
        </w:rPr>
        <w:t>εταιρεία</w:t>
      </w:r>
      <w:r w:rsidRPr="001E09AE">
        <w:rPr>
          <w:rFonts w:ascii="Tahoma" w:hAnsi="Tahoma" w:cs="Tahoma"/>
          <w:szCs w:val="18"/>
        </w:rPr>
        <w:t>ς.</w:t>
      </w:r>
    </w:p>
    <w:p w:rsidR="00B54E03" w:rsidRPr="001E09AE" w:rsidRDefault="00B54E03" w:rsidP="00B54E03">
      <w:pPr>
        <w:rPr>
          <w:rFonts w:ascii="Tahoma" w:hAnsi="Tahoma" w:cs="Tahoma"/>
          <w:b/>
          <w:szCs w:val="18"/>
        </w:rPr>
      </w:pPr>
    </w:p>
    <w:p w:rsidR="00646504" w:rsidRPr="001E09AE" w:rsidRDefault="00646504" w:rsidP="00F136DB">
      <w:pPr>
        <w:spacing w:line="276" w:lineRule="auto"/>
        <w:rPr>
          <w:rFonts w:ascii="Tahoma" w:hAnsi="Tahoma" w:cs="Tahoma"/>
        </w:rPr>
      </w:pPr>
    </w:p>
    <w:p w:rsidR="00206011" w:rsidRPr="00876AFD" w:rsidRDefault="00206011" w:rsidP="00F136DB">
      <w:pPr>
        <w:spacing w:line="276" w:lineRule="auto"/>
        <w:ind w:firstLine="720"/>
        <w:rPr>
          <w:rFonts w:ascii="Tahoma" w:hAnsi="Tahoma" w:cs="Tahoma"/>
        </w:rPr>
      </w:pPr>
      <w:r w:rsidRPr="001E09AE">
        <w:rPr>
          <w:rFonts w:ascii="Tahoma" w:hAnsi="Tahoma" w:cs="Tahoma"/>
        </w:rPr>
        <w:t xml:space="preserve">Αφού σας εκθέσαμε τα ανωτέρω συμπληρωματικά στοιχεία της διαχείρισης και των προοπτικών της εταιρείας, παρακαλούμε για την </w:t>
      </w:r>
      <w:r w:rsidRPr="00876AFD">
        <w:rPr>
          <w:rFonts w:ascii="Tahoma" w:hAnsi="Tahoma" w:cs="Tahoma"/>
        </w:rPr>
        <w:t>έγκριση των Οικονομικών Καταστάσεων.</w:t>
      </w:r>
    </w:p>
    <w:p w:rsidR="00F136DB" w:rsidRPr="00876AFD" w:rsidRDefault="00F136DB" w:rsidP="00F136DB">
      <w:pPr>
        <w:spacing w:line="276" w:lineRule="auto"/>
        <w:ind w:firstLine="720"/>
        <w:rPr>
          <w:rFonts w:ascii="Tahoma" w:hAnsi="Tahoma" w:cs="Tahoma"/>
        </w:rPr>
      </w:pPr>
    </w:p>
    <w:p w:rsidR="004C364A" w:rsidRPr="001D5ED4" w:rsidRDefault="00A92718" w:rsidP="004C364A">
      <w:pPr>
        <w:pStyle w:val="6"/>
        <w:spacing w:line="240" w:lineRule="auto"/>
        <w:jc w:val="center"/>
        <w:rPr>
          <w:rFonts w:ascii="Tahoma" w:hAnsi="Tahoma" w:cs="Tahoma"/>
          <w:sz w:val="20"/>
          <w:szCs w:val="20"/>
        </w:rPr>
      </w:pPr>
      <w:r w:rsidRPr="00A92718">
        <w:rPr>
          <w:rFonts w:ascii="Tahoma" w:hAnsi="Tahoma" w:cs="Tahoma"/>
          <w:sz w:val="20"/>
          <w:szCs w:val="20"/>
        </w:rPr>
        <w:t xml:space="preserve">Άγιοι </w:t>
      </w:r>
      <w:proofErr w:type="spellStart"/>
      <w:r w:rsidRPr="00A92718">
        <w:rPr>
          <w:rFonts w:ascii="Tahoma" w:hAnsi="Tahoma" w:cs="Tahoma"/>
          <w:sz w:val="20"/>
          <w:szCs w:val="20"/>
        </w:rPr>
        <w:t>Θεόδωροι</w:t>
      </w:r>
      <w:proofErr w:type="spellEnd"/>
      <w:r w:rsidRPr="00A92718">
        <w:rPr>
          <w:rFonts w:ascii="Tahoma" w:hAnsi="Tahoma" w:cs="Tahoma"/>
          <w:sz w:val="20"/>
          <w:szCs w:val="20"/>
        </w:rPr>
        <w:t xml:space="preserve"> Κορινθίας, 20 Ιουνίου 2019</w:t>
      </w:r>
    </w:p>
    <w:p w:rsidR="00843CD5" w:rsidRPr="00B35DB4" w:rsidRDefault="00843CD5" w:rsidP="00843CD5"/>
    <w:tbl>
      <w:tblPr>
        <w:tblW w:w="9719" w:type="dxa"/>
        <w:jc w:val="center"/>
        <w:tblLook w:val="01E0" w:firstRow="1" w:lastRow="1" w:firstColumn="1" w:lastColumn="1" w:noHBand="0" w:noVBand="0"/>
      </w:tblPr>
      <w:tblGrid>
        <w:gridCol w:w="4931"/>
        <w:gridCol w:w="4788"/>
      </w:tblGrid>
      <w:tr w:rsidR="00843CD5" w:rsidRPr="00B35DB4" w:rsidTr="00AB5336">
        <w:trPr>
          <w:jc w:val="center"/>
        </w:trPr>
        <w:tc>
          <w:tcPr>
            <w:tcW w:w="4931" w:type="dxa"/>
          </w:tcPr>
          <w:p w:rsidR="00843CD5" w:rsidRPr="00B35DB4" w:rsidRDefault="00843CD5" w:rsidP="00AB5336">
            <w:pPr>
              <w:spacing w:line="240" w:lineRule="auto"/>
              <w:jc w:val="center"/>
              <w:rPr>
                <w:rFonts w:ascii="Tahoma" w:hAnsi="Tahoma" w:cs="Tahoma"/>
                <w:b/>
                <w:sz w:val="18"/>
                <w:szCs w:val="18"/>
              </w:rPr>
            </w:pPr>
            <w:r w:rsidRPr="00B35DB4">
              <w:rPr>
                <w:rFonts w:ascii="Tahoma" w:hAnsi="Tahoma" w:cs="Tahoma"/>
                <w:b/>
                <w:sz w:val="18"/>
                <w:szCs w:val="18"/>
              </w:rPr>
              <w:t xml:space="preserve">O </w:t>
            </w:r>
            <w:r>
              <w:rPr>
                <w:rFonts w:ascii="Tahoma" w:hAnsi="Tahoma" w:cs="Tahoma"/>
                <w:b/>
                <w:sz w:val="18"/>
                <w:szCs w:val="18"/>
              </w:rPr>
              <w:t>ΠΡΟΕΔΡΟΣ ΤΟΥ</w:t>
            </w:r>
            <w:r w:rsidRPr="00B35DB4">
              <w:rPr>
                <w:rFonts w:ascii="Tahoma" w:hAnsi="Tahoma" w:cs="Tahoma"/>
                <w:b/>
                <w:sz w:val="18"/>
                <w:szCs w:val="18"/>
              </w:rPr>
              <w:t xml:space="preserve"> Δ.Σ. &amp; ΔΙΕΥΘΥΝΩΝ ΣΥΜΒΟΥΛΟΣ</w:t>
            </w:r>
          </w:p>
        </w:tc>
        <w:tc>
          <w:tcPr>
            <w:tcW w:w="4788" w:type="dxa"/>
            <w:vAlign w:val="center"/>
          </w:tcPr>
          <w:p w:rsidR="00843CD5" w:rsidRPr="00B35DB4" w:rsidRDefault="00843CD5" w:rsidP="00AB5336">
            <w:pPr>
              <w:spacing w:line="240" w:lineRule="auto"/>
              <w:jc w:val="center"/>
              <w:rPr>
                <w:rFonts w:ascii="Tahoma" w:hAnsi="Tahoma" w:cs="Tahoma"/>
                <w:b/>
              </w:rPr>
            </w:pPr>
            <w:r w:rsidRPr="00B35DB4">
              <w:rPr>
                <w:rFonts w:ascii="Tahoma" w:hAnsi="Tahoma" w:cs="Tahoma"/>
                <w:b/>
              </w:rPr>
              <w:t>Η ΑΝΤΙΠΡΟΕΔΡΟΣ ΤΟΥ Δ.Σ.</w:t>
            </w:r>
          </w:p>
        </w:tc>
      </w:tr>
      <w:tr w:rsidR="00843CD5" w:rsidRPr="00B35DB4" w:rsidTr="00AB5336">
        <w:trPr>
          <w:jc w:val="center"/>
        </w:trPr>
        <w:tc>
          <w:tcPr>
            <w:tcW w:w="4931" w:type="dxa"/>
          </w:tcPr>
          <w:p w:rsidR="00843CD5" w:rsidRPr="00B35DB4" w:rsidRDefault="00843CD5" w:rsidP="00AB5336">
            <w:pPr>
              <w:spacing w:line="240" w:lineRule="auto"/>
              <w:jc w:val="center"/>
              <w:rPr>
                <w:rFonts w:ascii="Tahoma" w:hAnsi="Tahoma" w:cs="Tahoma"/>
                <w:b/>
              </w:rPr>
            </w:pPr>
          </w:p>
        </w:tc>
        <w:tc>
          <w:tcPr>
            <w:tcW w:w="4788" w:type="dxa"/>
          </w:tcPr>
          <w:p w:rsidR="00843CD5" w:rsidRPr="00B35DB4" w:rsidRDefault="00843CD5" w:rsidP="00AB5336">
            <w:pPr>
              <w:spacing w:line="240" w:lineRule="auto"/>
              <w:jc w:val="center"/>
              <w:rPr>
                <w:rFonts w:ascii="Tahoma" w:hAnsi="Tahoma" w:cs="Tahoma"/>
                <w:b/>
              </w:rPr>
            </w:pPr>
          </w:p>
          <w:p w:rsidR="00843CD5" w:rsidRPr="00B35DB4" w:rsidRDefault="00843CD5" w:rsidP="00AB5336">
            <w:pPr>
              <w:spacing w:line="240" w:lineRule="auto"/>
              <w:jc w:val="center"/>
              <w:rPr>
                <w:rFonts w:ascii="Tahoma" w:hAnsi="Tahoma" w:cs="Tahoma"/>
                <w:b/>
              </w:rPr>
            </w:pPr>
          </w:p>
          <w:p w:rsidR="00843CD5" w:rsidRPr="00B35DB4" w:rsidRDefault="00843CD5" w:rsidP="00AB5336">
            <w:pPr>
              <w:spacing w:line="240" w:lineRule="auto"/>
              <w:jc w:val="center"/>
              <w:rPr>
                <w:rFonts w:ascii="Tahoma" w:hAnsi="Tahoma" w:cs="Tahoma"/>
                <w:b/>
              </w:rPr>
            </w:pPr>
          </w:p>
          <w:p w:rsidR="00843CD5" w:rsidRPr="00B35DB4" w:rsidRDefault="00843CD5" w:rsidP="00AB5336">
            <w:pPr>
              <w:spacing w:line="240" w:lineRule="auto"/>
              <w:jc w:val="center"/>
              <w:rPr>
                <w:rFonts w:ascii="Tahoma" w:hAnsi="Tahoma" w:cs="Tahoma"/>
                <w:b/>
              </w:rPr>
            </w:pPr>
          </w:p>
          <w:p w:rsidR="00843CD5" w:rsidRPr="00B35DB4" w:rsidRDefault="00843CD5" w:rsidP="00AB5336">
            <w:pPr>
              <w:spacing w:line="240" w:lineRule="auto"/>
              <w:jc w:val="center"/>
              <w:rPr>
                <w:rFonts w:ascii="Tahoma" w:hAnsi="Tahoma" w:cs="Tahoma"/>
                <w:b/>
              </w:rPr>
            </w:pPr>
          </w:p>
        </w:tc>
      </w:tr>
      <w:tr w:rsidR="00843CD5" w:rsidRPr="00B35DB4" w:rsidTr="00AB5336">
        <w:trPr>
          <w:jc w:val="center"/>
        </w:trPr>
        <w:tc>
          <w:tcPr>
            <w:tcW w:w="4931" w:type="dxa"/>
          </w:tcPr>
          <w:p w:rsidR="00843CD5" w:rsidRPr="00B35DB4" w:rsidRDefault="00843CD5" w:rsidP="00AB5336">
            <w:pPr>
              <w:spacing w:line="240" w:lineRule="auto"/>
              <w:jc w:val="center"/>
              <w:rPr>
                <w:rFonts w:ascii="Tahoma" w:hAnsi="Tahoma" w:cs="Tahoma"/>
                <w:b/>
              </w:rPr>
            </w:pPr>
            <w:r w:rsidRPr="00B35DB4">
              <w:rPr>
                <w:rFonts w:ascii="Tahoma" w:hAnsi="Tahoma" w:cs="Tahoma"/>
                <w:b/>
              </w:rPr>
              <w:t>ΓΕΩΡΓΙΟΣ ΒΑΚΟΝΤΙΟΣ</w:t>
            </w:r>
          </w:p>
        </w:tc>
        <w:tc>
          <w:tcPr>
            <w:tcW w:w="4788" w:type="dxa"/>
          </w:tcPr>
          <w:p w:rsidR="00843CD5" w:rsidRPr="00B35DB4" w:rsidRDefault="00843CD5" w:rsidP="00AB5336">
            <w:pPr>
              <w:spacing w:line="240" w:lineRule="auto"/>
              <w:jc w:val="center"/>
              <w:rPr>
                <w:rFonts w:ascii="Tahoma" w:hAnsi="Tahoma" w:cs="Tahoma"/>
                <w:b/>
              </w:rPr>
            </w:pPr>
            <w:r w:rsidRPr="00B35DB4">
              <w:rPr>
                <w:rFonts w:ascii="Tahoma" w:hAnsi="Tahoma" w:cs="Tahoma"/>
                <w:b/>
              </w:rPr>
              <w:t>ΑΝΑΣΤΑΣΙΑ ΚΑΝΤΑΝΑΚΗ</w:t>
            </w:r>
          </w:p>
        </w:tc>
      </w:tr>
    </w:tbl>
    <w:p w:rsidR="00843CD5" w:rsidRDefault="00843CD5" w:rsidP="00843CD5">
      <w:pPr>
        <w:spacing w:line="276" w:lineRule="auto"/>
        <w:jc w:val="center"/>
        <w:rPr>
          <w:rFonts w:ascii="Tahoma" w:hAnsi="Tahoma" w:cs="Tahoma"/>
          <w:b/>
          <w:bCs/>
          <w:lang w:val="en-US"/>
        </w:rPr>
      </w:pPr>
    </w:p>
    <w:p w:rsidR="004C364A" w:rsidRPr="001D5ED4" w:rsidRDefault="004C364A" w:rsidP="004C364A">
      <w:pPr>
        <w:spacing w:line="240" w:lineRule="auto"/>
        <w:jc w:val="center"/>
        <w:rPr>
          <w:rFonts w:ascii="Tahoma" w:hAnsi="Tahoma" w:cs="Tahoma"/>
          <w:b/>
        </w:rPr>
      </w:pPr>
    </w:p>
    <w:p w:rsidR="00646504" w:rsidRPr="006E1E0F" w:rsidRDefault="00646504" w:rsidP="00646504">
      <w:pPr>
        <w:spacing w:line="240" w:lineRule="auto"/>
        <w:jc w:val="center"/>
        <w:rPr>
          <w:rFonts w:ascii="Tahoma" w:hAnsi="Tahoma" w:cs="Tahoma"/>
          <w:b/>
          <w:sz w:val="18"/>
          <w:szCs w:val="18"/>
        </w:rPr>
      </w:pPr>
    </w:p>
    <w:p w:rsidR="004C552F" w:rsidRDefault="004C552F" w:rsidP="00646504">
      <w:pPr>
        <w:spacing w:line="240" w:lineRule="auto"/>
        <w:jc w:val="center"/>
        <w:rPr>
          <w:rFonts w:ascii="Tahoma" w:hAnsi="Tahoma" w:cs="Tahoma"/>
          <w:b/>
          <w:sz w:val="24"/>
          <w:szCs w:val="24"/>
          <w:u w:val="single"/>
        </w:rPr>
      </w:pPr>
    </w:p>
    <w:p w:rsidR="004C552F" w:rsidRDefault="004C552F" w:rsidP="00646504">
      <w:pPr>
        <w:spacing w:line="240" w:lineRule="auto"/>
        <w:jc w:val="center"/>
        <w:rPr>
          <w:rFonts w:ascii="Tahoma" w:hAnsi="Tahoma" w:cs="Tahoma"/>
          <w:b/>
          <w:sz w:val="24"/>
          <w:szCs w:val="24"/>
          <w:u w:val="single"/>
        </w:rPr>
      </w:pPr>
    </w:p>
    <w:p w:rsidR="004C552F" w:rsidRDefault="004C552F" w:rsidP="00646504">
      <w:pPr>
        <w:spacing w:line="240" w:lineRule="auto"/>
        <w:jc w:val="center"/>
        <w:rPr>
          <w:rFonts w:ascii="Tahoma" w:hAnsi="Tahoma" w:cs="Tahoma"/>
          <w:b/>
          <w:sz w:val="24"/>
          <w:szCs w:val="24"/>
          <w:u w:val="single"/>
        </w:rPr>
      </w:pPr>
    </w:p>
    <w:p w:rsidR="004C552F" w:rsidRDefault="004C552F" w:rsidP="00646504">
      <w:pPr>
        <w:spacing w:line="240" w:lineRule="auto"/>
        <w:jc w:val="center"/>
        <w:rPr>
          <w:rFonts w:ascii="Tahoma" w:hAnsi="Tahoma" w:cs="Tahoma"/>
          <w:b/>
          <w:sz w:val="24"/>
          <w:szCs w:val="24"/>
          <w:u w:val="single"/>
        </w:rPr>
      </w:pPr>
    </w:p>
    <w:p w:rsidR="004C552F" w:rsidRDefault="004C552F" w:rsidP="00646504">
      <w:pPr>
        <w:spacing w:line="240" w:lineRule="auto"/>
        <w:jc w:val="center"/>
        <w:rPr>
          <w:rFonts w:ascii="Tahoma" w:hAnsi="Tahoma" w:cs="Tahoma"/>
          <w:b/>
          <w:sz w:val="24"/>
          <w:szCs w:val="24"/>
          <w:u w:val="single"/>
        </w:rPr>
      </w:pPr>
    </w:p>
    <w:p w:rsidR="004C552F" w:rsidRDefault="004C552F" w:rsidP="00646504">
      <w:pPr>
        <w:spacing w:line="240" w:lineRule="auto"/>
        <w:jc w:val="center"/>
        <w:rPr>
          <w:rFonts w:ascii="Tahoma" w:hAnsi="Tahoma" w:cs="Tahoma"/>
          <w:b/>
          <w:sz w:val="24"/>
          <w:szCs w:val="24"/>
          <w:u w:val="single"/>
        </w:rPr>
      </w:pPr>
    </w:p>
    <w:p w:rsidR="004C552F" w:rsidRDefault="004C552F" w:rsidP="00646504">
      <w:pPr>
        <w:spacing w:line="240" w:lineRule="auto"/>
        <w:jc w:val="center"/>
        <w:rPr>
          <w:rFonts w:ascii="Tahoma" w:hAnsi="Tahoma" w:cs="Tahoma"/>
          <w:b/>
          <w:sz w:val="24"/>
          <w:szCs w:val="24"/>
          <w:u w:val="single"/>
        </w:rPr>
      </w:pPr>
    </w:p>
    <w:p w:rsidR="004C552F" w:rsidRDefault="004C552F" w:rsidP="00646504">
      <w:pPr>
        <w:spacing w:line="240" w:lineRule="auto"/>
        <w:jc w:val="center"/>
        <w:rPr>
          <w:rFonts w:ascii="Tahoma" w:hAnsi="Tahoma" w:cs="Tahoma"/>
          <w:b/>
          <w:sz w:val="24"/>
          <w:szCs w:val="24"/>
          <w:u w:val="single"/>
        </w:rPr>
      </w:pPr>
    </w:p>
    <w:p w:rsidR="00646504" w:rsidRPr="00C83850" w:rsidRDefault="00646504" w:rsidP="00646504">
      <w:pPr>
        <w:spacing w:line="240" w:lineRule="auto"/>
        <w:jc w:val="center"/>
        <w:rPr>
          <w:rFonts w:ascii="Tahoma" w:hAnsi="Tahoma" w:cs="Tahoma"/>
          <w:b/>
          <w:sz w:val="24"/>
          <w:szCs w:val="24"/>
          <w:u w:val="single"/>
        </w:rPr>
      </w:pPr>
      <w:r w:rsidRPr="00C83850">
        <w:rPr>
          <w:rFonts w:ascii="Tahoma" w:hAnsi="Tahoma" w:cs="Tahoma"/>
          <w:b/>
          <w:sz w:val="24"/>
          <w:szCs w:val="24"/>
          <w:u w:val="single"/>
        </w:rPr>
        <w:t xml:space="preserve">ΒΕΒΑΙΩΣΗ </w:t>
      </w:r>
    </w:p>
    <w:p w:rsidR="00646504" w:rsidRPr="00C83850" w:rsidRDefault="00646504" w:rsidP="00646504">
      <w:pPr>
        <w:spacing w:line="240" w:lineRule="auto"/>
        <w:jc w:val="center"/>
        <w:rPr>
          <w:rFonts w:ascii="Tahoma" w:hAnsi="Tahoma" w:cs="Tahoma"/>
        </w:rPr>
      </w:pPr>
    </w:p>
    <w:p w:rsidR="00646504" w:rsidRPr="00C83850" w:rsidRDefault="00646504" w:rsidP="00646504">
      <w:pPr>
        <w:spacing w:line="240" w:lineRule="auto"/>
        <w:ind w:firstLine="720"/>
        <w:rPr>
          <w:rFonts w:ascii="Tahoma" w:hAnsi="Tahoma" w:cs="Tahoma"/>
        </w:rPr>
      </w:pPr>
      <w:r w:rsidRPr="00C83850">
        <w:rPr>
          <w:rFonts w:ascii="Tahoma" w:hAnsi="Tahoma" w:cs="Tahoma"/>
        </w:rPr>
        <w:t xml:space="preserve">Βεβαιώνεται ότι η ανωτέρω Έκθεση του Δ.Σ., που αποτελείται από </w:t>
      </w:r>
      <w:r w:rsidR="00A92718" w:rsidRPr="00C83850">
        <w:rPr>
          <w:rFonts w:ascii="Tahoma" w:hAnsi="Tahoma" w:cs="Tahoma"/>
        </w:rPr>
        <w:t>8</w:t>
      </w:r>
      <w:r w:rsidRPr="00C83850">
        <w:rPr>
          <w:rFonts w:ascii="Tahoma" w:hAnsi="Tahoma" w:cs="Tahoma"/>
        </w:rPr>
        <w:t xml:space="preserve"> σελίδες, είναι αυτή που αναφέρεται στην Έκθεση Ελέγχου που χορήγησα με ημερομηνία </w:t>
      </w:r>
      <w:r w:rsidR="00A92718" w:rsidRPr="00C83850">
        <w:rPr>
          <w:rFonts w:ascii="Tahoma" w:hAnsi="Tahoma" w:cs="Tahoma"/>
        </w:rPr>
        <w:t>10</w:t>
      </w:r>
      <w:r w:rsidR="00466715" w:rsidRPr="00C83850">
        <w:rPr>
          <w:rFonts w:ascii="Tahoma" w:hAnsi="Tahoma" w:cs="Tahoma"/>
        </w:rPr>
        <w:t xml:space="preserve"> Ιου</w:t>
      </w:r>
      <w:r w:rsidR="00876AFD" w:rsidRPr="00C83850">
        <w:rPr>
          <w:rFonts w:ascii="Tahoma" w:hAnsi="Tahoma" w:cs="Tahoma"/>
        </w:rPr>
        <w:t>λ</w:t>
      </w:r>
      <w:r w:rsidR="00466715" w:rsidRPr="00C83850">
        <w:rPr>
          <w:rFonts w:ascii="Tahoma" w:hAnsi="Tahoma" w:cs="Tahoma"/>
        </w:rPr>
        <w:t>ίου 201</w:t>
      </w:r>
      <w:r w:rsidR="00A92718" w:rsidRPr="00C83850">
        <w:rPr>
          <w:rFonts w:ascii="Tahoma" w:hAnsi="Tahoma" w:cs="Tahoma"/>
        </w:rPr>
        <w:t>9</w:t>
      </w:r>
      <w:r w:rsidRPr="00C83850">
        <w:rPr>
          <w:rFonts w:ascii="Tahoma" w:hAnsi="Tahoma" w:cs="Tahoma"/>
        </w:rPr>
        <w:t>.</w:t>
      </w:r>
    </w:p>
    <w:p w:rsidR="00646504" w:rsidRPr="00C83850" w:rsidRDefault="00646504" w:rsidP="00526BD2">
      <w:pPr>
        <w:spacing w:line="240" w:lineRule="auto"/>
        <w:jc w:val="center"/>
        <w:rPr>
          <w:rFonts w:ascii="Tahoma" w:hAnsi="Tahoma" w:cs="Tahoma"/>
        </w:rPr>
      </w:pPr>
    </w:p>
    <w:p w:rsidR="00646504" w:rsidRPr="004D1E60" w:rsidRDefault="00F81BA8" w:rsidP="00646504">
      <w:pPr>
        <w:pStyle w:val="6"/>
        <w:spacing w:line="240" w:lineRule="auto"/>
        <w:jc w:val="center"/>
        <w:rPr>
          <w:rFonts w:ascii="Tahoma" w:hAnsi="Tahoma" w:cs="Tahoma"/>
          <w:sz w:val="20"/>
          <w:szCs w:val="20"/>
        </w:rPr>
      </w:pPr>
      <w:r w:rsidRPr="00C83850">
        <w:rPr>
          <w:rFonts w:ascii="Tahoma" w:hAnsi="Tahoma" w:cs="Tahoma"/>
          <w:sz w:val="20"/>
          <w:szCs w:val="20"/>
        </w:rPr>
        <w:t xml:space="preserve">Αθήνα, </w:t>
      </w:r>
      <w:r w:rsidR="00A92718" w:rsidRPr="004D1E60">
        <w:rPr>
          <w:rFonts w:ascii="Tahoma" w:hAnsi="Tahoma" w:cs="Tahoma"/>
          <w:sz w:val="20"/>
          <w:szCs w:val="20"/>
        </w:rPr>
        <w:t>10</w:t>
      </w:r>
      <w:r w:rsidR="00466715" w:rsidRPr="00C83850">
        <w:rPr>
          <w:rFonts w:ascii="Tahoma" w:hAnsi="Tahoma" w:cs="Tahoma"/>
          <w:sz w:val="20"/>
          <w:szCs w:val="20"/>
        </w:rPr>
        <w:t xml:space="preserve"> Ιου</w:t>
      </w:r>
      <w:r w:rsidR="00876AFD" w:rsidRPr="00C83850">
        <w:rPr>
          <w:rFonts w:ascii="Tahoma" w:hAnsi="Tahoma" w:cs="Tahoma"/>
          <w:sz w:val="20"/>
          <w:szCs w:val="20"/>
        </w:rPr>
        <w:t>λί</w:t>
      </w:r>
      <w:r w:rsidR="00466715" w:rsidRPr="00C83850">
        <w:rPr>
          <w:rFonts w:ascii="Tahoma" w:hAnsi="Tahoma" w:cs="Tahoma"/>
          <w:sz w:val="20"/>
          <w:szCs w:val="20"/>
        </w:rPr>
        <w:t>ου 201</w:t>
      </w:r>
      <w:r w:rsidR="00A92718" w:rsidRPr="004D1E60">
        <w:rPr>
          <w:rFonts w:ascii="Tahoma" w:hAnsi="Tahoma" w:cs="Tahoma"/>
          <w:sz w:val="20"/>
          <w:szCs w:val="20"/>
        </w:rPr>
        <w:t>9</w:t>
      </w:r>
    </w:p>
    <w:p w:rsidR="00646504" w:rsidRPr="00C83850" w:rsidRDefault="00646504" w:rsidP="00646504">
      <w:pPr>
        <w:spacing w:line="240" w:lineRule="auto"/>
        <w:jc w:val="center"/>
        <w:rPr>
          <w:rFonts w:ascii="Tahoma" w:hAnsi="Tahoma" w:cs="Tahoma"/>
          <w:b/>
        </w:rPr>
      </w:pPr>
      <w:r w:rsidRPr="00C83850">
        <w:rPr>
          <w:rFonts w:ascii="Tahoma" w:hAnsi="Tahoma" w:cs="Tahoma"/>
          <w:b/>
        </w:rPr>
        <w:t>Ο ΟΡΚΩΤΟΣ ΕΛΕΓΚΤΗΣ ΛΟΓΙΣΤΗΣ</w:t>
      </w:r>
    </w:p>
    <w:p w:rsidR="00646504" w:rsidRPr="00C83850" w:rsidRDefault="00646504" w:rsidP="00646504">
      <w:pPr>
        <w:spacing w:line="240" w:lineRule="auto"/>
        <w:jc w:val="center"/>
        <w:rPr>
          <w:rFonts w:ascii="Tahoma" w:hAnsi="Tahoma" w:cs="Tahoma"/>
          <w:b/>
        </w:rPr>
      </w:pPr>
    </w:p>
    <w:p w:rsidR="00646504" w:rsidRPr="00C83850" w:rsidRDefault="00646504" w:rsidP="00646504">
      <w:pPr>
        <w:spacing w:line="240" w:lineRule="auto"/>
        <w:rPr>
          <w:rFonts w:ascii="Tahoma" w:hAnsi="Tahoma" w:cs="Tahoma"/>
          <w:b/>
        </w:rPr>
      </w:pPr>
    </w:p>
    <w:p w:rsidR="000E5DBD" w:rsidRPr="00C83850" w:rsidRDefault="000E5DBD" w:rsidP="00646504">
      <w:pPr>
        <w:spacing w:line="240" w:lineRule="auto"/>
        <w:rPr>
          <w:rFonts w:ascii="Tahoma" w:hAnsi="Tahoma" w:cs="Tahoma"/>
          <w:b/>
        </w:rPr>
      </w:pPr>
    </w:p>
    <w:p w:rsidR="000E5DBD" w:rsidRPr="00C83850" w:rsidRDefault="000E5DBD" w:rsidP="00646504">
      <w:pPr>
        <w:spacing w:line="240" w:lineRule="auto"/>
        <w:rPr>
          <w:rFonts w:ascii="Tahoma" w:hAnsi="Tahoma" w:cs="Tahoma"/>
          <w:b/>
        </w:rPr>
      </w:pPr>
    </w:p>
    <w:p w:rsidR="00526BD2" w:rsidRPr="00C83850" w:rsidRDefault="00526BD2" w:rsidP="00646504">
      <w:pPr>
        <w:spacing w:line="240" w:lineRule="auto"/>
        <w:rPr>
          <w:rFonts w:ascii="Tahoma" w:hAnsi="Tahoma" w:cs="Tahoma"/>
          <w:b/>
        </w:rPr>
      </w:pPr>
    </w:p>
    <w:p w:rsidR="004C364A" w:rsidRPr="00C83850" w:rsidRDefault="00A92718" w:rsidP="004C364A">
      <w:pPr>
        <w:spacing w:line="240" w:lineRule="auto"/>
        <w:jc w:val="center"/>
        <w:rPr>
          <w:rFonts w:ascii="Tahoma" w:hAnsi="Tahoma" w:cs="Tahoma"/>
          <w:b/>
        </w:rPr>
      </w:pPr>
      <w:r w:rsidRPr="00C83850">
        <w:rPr>
          <w:rFonts w:ascii="Tahoma" w:hAnsi="Tahoma" w:cs="Tahoma"/>
          <w:b/>
        </w:rPr>
        <w:t>ΓΕΩΡΓΙΟΣ Θ. ΠΑΠΑΘΩΜΑΣ</w:t>
      </w:r>
    </w:p>
    <w:p w:rsidR="004C364A" w:rsidRPr="00C83850" w:rsidRDefault="004C364A" w:rsidP="004C364A">
      <w:pPr>
        <w:spacing w:line="240" w:lineRule="auto"/>
        <w:jc w:val="center"/>
        <w:rPr>
          <w:rFonts w:ascii="Tahoma" w:hAnsi="Tahoma" w:cs="Tahoma"/>
          <w:b/>
        </w:rPr>
      </w:pPr>
      <w:r w:rsidRPr="00C83850">
        <w:rPr>
          <w:rFonts w:ascii="Tahoma" w:hAnsi="Tahoma" w:cs="Tahoma"/>
          <w:b/>
        </w:rPr>
        <w:t xml:space="preserve">Α.Μ. ΣΟΕΛ </w:t>
      </w:r>
      <w:r w:rsidR="00C83850" w:rsidRPr="00C83850">
        <w:rPr>
          <w:rFonts w:ascii="Tahoma" w:hAnsi="Tahoma" w:cs="Tahoma"/>
          <w:b/>
        </w:rPr>
        <w:t>298</w:t>
      </w:r>
      <w:r w:rsidRPr="00C83850">
        <w:rPr>
          <w:rFonts w:ascii="Tahoma" w:hAnsi="Tahoma" w:cs="Tahoma"/>
          <w:b/>
        </w:rPr>
        <w:t>11</w:t>
      </w:r>
    </w:p>
    <w:p w:rsidR="00206011" w:rsidRPr="00876AFD" w:rsidRDefault="004C364A" w:rsidP="00876AFD">
      <w:pPr>
        <w:spacing w:line="240" w:lineRule="auto"/>
        <w:jc w:val="center"/>
        <w:rPr>
          <w:rFonts w:ascii="Tahoma" w:hAnsi="Tahoma" w:cs="Tahoma"/>
          <w:b/>
        </w:rPr>
      </w:pPr>
      <w:r w:rsidRPr="00C83850">
        <w:rPr>
          <w:rFonts w:ascii="Tahoma" w:hAnsi="Tahoma" w:cs="Tahoma"/>
          <w:b/>
          <w:lang w:val="en-US"/>
        </w:rPr>
        <w:t>PKF</w:t>
      </w:r>
      <w:r w:rsidRPr="00C83850">
        <w:rPr>
          <w:rFonts w:ascii="Tahoma" w:hAnsi="Tahoma" w:cs="Tahoma"/>
          <w:b/>
        </w:rPr>
        <w:t xml:space="preserve"> ΕΥΡΩΕΛΕΓΚΤΙΚΗ Α.Ε.</w:t>
      </w:r>
    </w:p>
    <w:sectPr w:rsidR="00206011" w:rsidRPr="00876AFD" w:rsidSect="007B38C4">
      <w:footerReference w:type="default" r:id="rId10"/>
      <w:pgSz w:w="11906" w:h="16838"/>
      <w:pgMar w:top="993" w:right="849" w:bottom="1135" w:left="993"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93" w:rsidRDefault="00F41E93">
      <w:r>
        <w:separator/>
      </w:r>
    </w:p>
  </w:endnote>
  <w:endnote w:type="continuationSeparator" w:id="0">
    <w:p w:rsidR="00F41E93" w:rsidRDefault="00F4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03" w:rsidRPr="00C1445E" w:rsidRDefault="00B54E03" w:rsidP="00C1445E">
    <w:pPr>
      <w:pStyle w:val="a3"/>
      <w:ind w:right="360"/>
      <w:rPr>
        <w:rFonts w:ascii="Tahoma" w:hAnsi="Tahoma" w:cs="Tahoma"/>
        <w:b/>
        <w:sz w:val="16"/>
        <w:szCs w:val="16"/>
      </w:rPr>
    </w:pPr>
    <w:r w:rsidRPr="00B22068">
      <w:rPr>
        <w:rFonts w:ascii="Tahoma" w:hAnsi="Tahoma" w:cs="Tahoma"/>
        <w:b/>
        <w:bCs/>
        <w:sz w:val="16"/>
        <w:szCs w:val="16"/>
      </w:rPr>
      <w:t>«</w:t>
    </w:r>
    <w:r w:rsidR="00CA79EB">
      <w:rPr>
        <w:rFonts w:ascii="Tahoma" w:hAnsi="Tahoma" w:cs="Tahoma"/>
        <w:b/>
        <w:bCs/>
        <w:sz w:val="16"/>
        <w:szCs w:val="16"/>
      </w:rPr>
      <w:t>ΕΛΛΗΝΙΚΟ ΚΕΝΤΡΟ ΑΝΑΚΥΚΛΩΣΗΣ Α.Β.Ε.Ε</w:t>
    </w:r>
    <w:r w:rsidRPr="00C1445E">
      <w:rPr>
        <w:rFonts w:ascii="Tahoma" w:hAnsi="Tahoma" w:cs="Tahoma"/>
        <w:b/>
        <w:bCs/>
        <w:sz w:val="16"/>
        <w:szCs w:val="16"/>
      </w:rPr>
      <w:t>»</w:t>
    </w:r>
    <w:r w:rsidRPr="00C1445E">
      <w:rPr>
        <w:rFonts w:ascii="Tahoma" w:hAnsi="Tahoma" w:cs="Tahoma"/>
        <w:b/>
        <w:sz w:val="16"/>
        <w:szCs w:val="16"/>
      </w:rPr>
      <w:t xml:space="preserve"> ΕΚΘΕΣΗ ΔΙΑΧΕΙΡΙΣ</w:t>
    </w:r>
    <w:r>
      <w:rPr>
        <w:rFonts w:ascii="Tahoma" w:hAnsi="Tahoma" w:cs="Tahoma"/>
        <w:b/>
        <w:sz w:val="16"/>
        <w:szCs w:val="16"/>
      </w:rPr>
      <w:t>ΗΣ</w:t>
    </w:r>
    <w:r w:rsidRPr="00C1445E">
      <w:rPr>
        <w:rFonts w:ascii="Tahoma" w:hAnsi="Tahoma" w:cs="Tahoma"/>
        <w:b/>
        <w:sz w:val="16"/>
        <w:szCs w:val="16"/>
      </w:rPr>
      <w:t xml:space="preserve"> ΧΡΗΣΕΩΣ 201</w:t>
    </w:r>
    <w:r w:rsidR="00AC7882">
      <w:rPr>
        <w:rFonts w:ascii="Tahoma" w:hAnsi="Tahoma" w:cs="Tahoma"/>
        <w:b/>
        <w:sz w:val="16"/>
        <w:szCs w:val="16"/>
      </w:rPr>
      <w:t>8</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Pr="00C1445E">
      <w:rPr>
        <w:rStyle w:val="a4"/>
        <w:rFonts w:ascii="Tahoma" w:hAnsi="Tahoma" w:cs="Tahoma"/>
        <w:b/>
        <w:sz w:val="16"/>
        <w:szCs w:val="16"/>
      </w:rPr>
      <w:fldChar w:fldCharType="begin"/>
    </w:r>
    <w:r w:rsidRPr="00C1445E">
      <w:rPr>
        <w:rStyle w:val="a4"/>
        <w:rFonts w:ascii="Tahoma" w:hAnsi="Tahoma" w:cs="Tahoma"/>
        <w:b/>
        <w:sz w:val="16"/>
        <w:szCs w:val="16"/>
      </w:rPr>
      <w:instrText xml:space="preserve"> PAGE </w:instrText>
    </w:r>
    <w:r w:rsidRPr="00C1445E">
      <w:rPr>
        <w:rStyle w:val="a4"/>
        <w:rFonts w:ascii="Tahoma" w:hAnsi="Tahoma" w:cs="Tahoma"/>
        <w:b/>
        <w:sz w:val="16"/>
        <w:szCs w:val="16"/>
      </w:rPr>
      <w:fldChar w:fldCharType="separate"/>
    </w:r>
    <w:r w:rsidR="00F91ED0">
      <w:rPr>
        <w:rStyle w:val="a4"/>
        <w:rFonts w:ascii="Tahoma" w:hAnsi="Tahoma" w:cs="Tahoma"/>
        <w:b/>
        <w:noProof/>
        <w:sz w:val="16"/>
        <w:szCs w:val="16"/>
      </w:rPr>
      <w:t>8</w:t>
    </w:r>
    <w:r w:rsidRPr="00C1445E">
      <w:rPr>
        <w:rStyle w:val="a4"/>
        <w:rFonts w:ascii="Tahoma" w:hAnsi="Tahoma" w:cs="Tahoma"/>
        <w:b/>
        <w:sz w:val="16"/>
        <w:szCs w:val="16"/>
      </w:rPr>
      <w:fldChar w:fldCharType="end"/>
    </w:r>
    <w:r w:rsidRPr="00C1445E">
      <w:rPr>
        <w:rStyle w:val="a4"/>
        <w:rFonts w:ascii="Tahoma" w:hAnsi="Tahoma" w:cs="Tahoma"/>
        <w:b/>
        <w:sz w:val="16"/>
        <w:szCs w:val="16"/>
      </w:rPr>
      <w:t>/</w:t>
    </w:r>
    <w:r w:rsidRPr="00C1445E">
      <w:rPr>
        <w:rStyle w:val="a4"/>
        <w:rFonts w:ascii="Tahoma" w:hAnsi="Tahoma" w:cs="Tahoma"/>
        <w:b/>
        <w:sz w:val="16"/>
        <w:szCs w:val="16"/>
      </w:rPr>
      <w:fldChar w:fldCharType="begin"/>
    </w:r>
    <w:r w:rsidRPr="00C1445E">
      <w:rPr>
        <w:rStyle w:val="a4"/>
        <w:rFonts w:ascii="Tahoma" w:hAnsi="Tahoma" w:cs="Tahoma"/>
        <w:b/>
        <w:sz w:val="16"/>
        <w:szCs w:val="16"/>
      </w:rPr>
      <w:instrText xml:space="preserve"> NUMPAGES </w:instrText>
    </w:r>
    <w:r w:rsidRPr="00C1445E">
      <w:rPr>
        <w:rStyle w:val="a4"/>
        <w:rFonts w:ascii="Tahoma" w:hAnsi="Tahoma" w:cs="Tahoma"/>
        <w:b/>
        <w:sz w:val="16"/>
        <w:szCs w:val="16"/>
      </w:rPr>
      <w:fldChar w:fldCharType="separate"/>
    </w:r>
    <w:r w:rsidR="00F91ED0">
      <w:rPr>
        <w:rStyle w:val="a4"/>
        <w:rFonts w:ascii="Tahoma" w:hAnsi="Tahoma" w:cs="Tahoma"/>
        <w:b/>
        <w:noProof/>
        <w:sz w:val="16"/>
        <w:szCs w:val="16"/>
      </w:rPr>
      <w:t>8</w:t>
    </w:r>
    <w:r w:rsidRPr="00C1445E">
      <w:rPr>
        <w:rStyle w:val="a4"/>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93" w:rsidRDefault="00F41E93">
      <w:r>
        <w:separator/>
      </w:r>
    </w:p>
  </w:footnote>
  <w:footnote w:type="continuationSeparator" w:id="0">
    <w:p w:rsidR="00F41E93" w:rsidRDefault="00F41E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D7"/>
    <w:multiLevelType w:val="hybridMultilevel"/>
    <w:tmpl w:val="5CC67F92"/>
    <w:lvl w:ilvl="0" w:tplc="0408001B">
      <w:start w:val="1"/>
      <w:numFmt w:val="lowerRoman"/>
      <w:lvlText w:val="%1."/>
      <w:lvlJc w:val="righ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 w15:restartNumberingAfterBreak="0">
    <w:nsid w:val="11505F7B"/>
    <w:multiLevelType w:val="hybridMultilevel"/>
    <w:tmpl w:val="62FCC1D8"/>
    <w:lvl w:ilvl="0" w:tplc="93AE082C">
      <w:start w:val="2"/>
      <w:numFmt w:val="decimal"/>
      <w:lvlText w:val="%1."/>
      <w:lvlJc w:val="left"/>
      <w:pPr>
        <w:tabs>
          <w:tab w:val="num" w:pos="644"/>
        </w:tabs>
        <w:ind w:left="644" w:hanging="360"/>
      </w:pPr>
      <w:rPr>
        <w:rFonts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C72423"/>
    <w:multiLevelType w:val="hybridMultilevel"/>
    <w:tmpl w:val="185833E2"/>
    <w:lvl w:ilvl="0" w:tplc="F79485DE">
      <w:start w:val="1"/>
      <w:numFmt w:val="decimal"/>
      <w:lvlText w:val="%1."/>
      <w:lvlJc w:val="left"/>
      <w:pPr>
        <w:tabs>
          <w:tab w:val="num" w:pos="644"/>
        </w:tabs>
        <w:ind w:left="644" w:hanging="360"/>
      </w:pPr>
      <w:rPr>
        <w:rFonts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CC48CE"/>
    <w:multiLevelType w:val="hybridMultilevel"/>
    <w:tmpl w:val="7416EFBE"/>
    <w:lvl w:ilvl="0" w:tplc="93AE082C">
      <w:start w:val="2"/>
      <w:numFmt w:val="decimal"/>
      <w:lvlText w:val="%1."/>
      <w:lvlJc w:val="left"/>
      <w:pPr>
        <w:tabs>
          <w:tab w:val="num" w:pos="644"/>
        </w:tabs>
        <w:ind w:left="644" w:hanging="360"/>
      </w:pPr>
      <w:rPr>
        <w:rFonts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992D8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96F00"/>
    <w:multiLevelType w:val="singleLevel"/>
    <w:tmpl w:val="27DA54BC"/>
    <w:lvl w:ilvl="0">
      <w:start w:val="1"/>
      <w:numFmt w:val="decimal"/>
      <w:lvlText w:val="%1."/>
      <w:lvlJc w:val="left"/>
      <w:pPr>
        <w:tabs>
          <w:tab w:val="num" w:pos="644"/>
        </w:tabs>
        <w:ind w:left="644" w:hanging="360"/>
      </w:pPr>
      <w:rPr>
        <w:rFonts w:cs="Times New Roman" w:hint="default"/>
        <w:color w:val="auto"/>
      </w:rPr>
    </w:lvl>
  </w:abstractNum>
  <w:abstractNum w:abstractNumId="6" w15:restartNumberingAfterBreak="0">
    <w:nsid w:val="2E467EE5"/>
    <w:multiLevelType w:val="hybridMultilevel"/>
    <w:tmpl w:val="CE729D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B93A59"/>
    <w:multiLevelType w:val="hybridMultilevel"/>
    <w:tmpl w:val="FCDC3CA8"/>
    <w:lvl w:ilvl="0" w:tplc="0408001B">
      <w:start w:val="1"/>
      <w:numFmt w:val="lowerRoman"/>
      <w:lvlText w:val="%1."/>
      <w:lvlJc w:val="righ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A911876"/>
    <w:multiLevelType w:val="hybridMultilevel"/>
    <w:tmpl w:val="14FC574E"/>
    <w:lvl w:ilvl="0" w:tplc="DF7A042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4E8039B4"/>
    <w:multiLevelType w:val="hybridMultilevel"/>
    <w:tmpl w:val="004CB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0D665AB"/>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556E1A6F"/>
    <w:multiLevelType w:val="hybridMultilevel"/>
    <w:tmpl w:val="FDC4CA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9BD71A4"/>
    <w:multiLevelType w:val="multilevel"/>
    <w:tmpl w:val="1EDA05D4"/>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DE433FD"/>
    <w:multiLevelType w:val="hybridMultilevel"/>
    <w:tmpl w:val="43604A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D3C5EDB"/>
    <w:multiLevelType w:val="multilevel"/>
    <w:tmpl w:val="89AC1036"/>
    <w:lvl w:ilvl="0">
      <w:start w:val="7"/>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D6F0D4D"/>
    <w:multiLevelType w:val="singleLevel"/>
    <w:tmpl w:val="0408000F"/>
    <w:lvl w:ilvl="0">
      <w:start w:val="1"/>
      <w:numFmt w:val="decimal"/>
      <w:lvlText w:val="%1."/>
      <w:lvlJc w:val="left"/>
      <w:pPr>
        <w:tabs>
          <w:tab w:val="num" w:pos="502"/>
        </w:tabs>
        <w:ind w:left="502" w:hanging="360"/>
      </w:pPr>
      <w:rPr>
        <w:rFonts w:cs="Times New Roman" w:hint="default"/>
      </w:rPr>
    </w:lvl>
  </w:abstractNum>
  <w:abstractNum w:abstractNumId="16" w15:restartNumberingAfterBreak="0">
    <w:nsid w:val="77233DB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0871C3"/>
    <w:multiLevelType w:val="hybridMultilevel"/>
    <w:tmpl w:val="62FCC1D8"/>
    <w:lvl w:ilvl="0" w:tplc="93AE082C">
      <w:start w:val="2"/>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8" w15:restartNumberingAfterBreak="0">
    <w:nsid w:val="7A974331"/>
    <w:multiLevelType w:val="hybridMultilevel"/>
    <w:tmpl w:val="041012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2608E"/>
    <w:multiLevelType w:val="multilevel"/>
    <w:tmpl w:val="65D049B6"/>
    <w:lvl w:ilvl="0">
      <w:start w:val="1"/>
      <w:numFmt w:val="decimal"/>
      <w:lvlText w:val="%1."/>
      <w:lvlJc w:val="left"/>
      <w:pPr>
        <w:tabs>
          <w:tab w:val="num" w:pos="644"/>
        </w:tabs>
        <w:ind w:left="644" w:hanging="360"/>
      </w:pPr>
      <w:rPr>
        <w:rFonts w:cs="Times New Roman" w:hint="default"/>
        <w:color w:val="auto"/>
      </w:rPr>
    </w:lvl>
    <w:lvl w:ilvl="1">
      <w:start w:val="4"/>
      <w:numFmt w:val="decimal"/>
      <w:isLgl/>
      <w:lvlText w:val="%1.%2."/>
      <w:lvlJc w:val="left"/>
      <w:pPr>
        <w:ind w:left="1288" w:hanging="720"/>
      </w:pPr>
      <w:rPr>
        <w:rFonts w:hint="default"/>
        <w:b/>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num w:numId="1">
    <w:abstractNumId w:val="15"/>
  </w:num>
  <w:num w:numId="2">
    <w:abstractNumId w:val="10"/>
  </w:num>
  <w:num w:numId="3">
    <w:abstractNumId w:val="19"/>
  </w:num>
  <w:num w:numId="4">
    <w:abstractNumId w:val="4"/>
  </w:num>
  <w:num w:numId="5">
    <w:abstractNumId w:val="16"/>
  </w:num>
  <w:num w:numId="6">
    <w:abstractNumId w:val="13"/>
  </w:num>
  <w:num w:numId="7">
    <w:abstractNumId w:val="11"/>
  </w:num>
  <w:num w:numId="8">
    <w:abstractNumId w:val="8"/>
  </w:num>
  <w:num w:numId="9">
    <w:abstractNumId w:val="6"/>
  </w:num>
  <w:num w:numId="10">
    <w:abstractNumId w:val="5"/>
  </w:num>
  <w:num w:numId="11">
    <w:abstractNumId w:val="17"/>
  </w:num>
  <w:num w:numId="12">
    <w:abstractNumId w:val="3"/>
  </w:num>
  <w:num w:numId="13">
    <w:abstractNumId w:val="1"/>
  </w:num>
  <w:num w:numId="14">
    <w:abstractNumId w:val="2"/>
  </w:num>
  <w:num w:numId="15">
    <w:abstractNumId w:val="7"/>
  </w:num>
  <w:num w:numId="16">
    <w:abstractNumId w:val="0"/>
  </w:num>
  <w:num w:numId="17">
    <w:abstractNumId w:val="18"/>
  </w:num>
  <w:num w:numId="18">
    <w:abstractNumId w:val="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53"/>
    <w:rsid w:val="00001B64"/>
    <w:rsid w:val="00002CAC"/>
    <w:rsid w:val="00005211"/>
    <w:rsid w:val="00024A23"/>
    <w:rsid w:val="000257CC"/>
    <w:rsid w:val="00025DE4"/>
    <w:rsid w:val="0003395D"/>
    <w:rsid w:val="00045EDD"/>
    <w:rsid w:val="00053B8B"/>
    <w:rsid w:val="00054321"/>
    <w:rsid w:val="00074561"/>
    <w:rsid w:val="000757B2"/>
    <w:rsid w:val="00081F12"/>
    <w:rsid w:val="00084653"/>
    <w:rsid w:val="000A3567"/>
    <w:rsid w:val="000A3CA0"/>
    <w:rsid w:val="000A3E6E"/>
    <w:rsid w:val="000A47C2"/>
    <w:rsid w:val="000A61A7"/>
    <w:rsid w:val="000B3E28"/>
    <w:rsid w:val="000E3BA5"/>
    <w:rsid w:val="000E5DBD"/>
    <w:rsid w:val="0011205F"/>
    <w:rsid w:val="001126A6"/>
    <w:rsid w:val="00113160"/>
    <w:rsid w:val="0011370D"/>
    <w:rsid w:val="001143E6"/>
    <w:rsid w:val="00120BB5"/>
    <w:rsid w:val="00127FC6"/>
    <w:rsid w:val="00130596"/>
    <w:rsid w:val="00131C1D"/>
    <w:rsid w:val="001350AE"/>
    <w:rsid w:val="0014309E"/>
    <w:rsid w:val="00143576"/>
    <w:rsid w:val="00146D36"/>
    <w:rsid w:val="00152E14"/>
    <w:rsid w:val="00153A47"/>
    <w:rsid w:val="00156D29"/>
    <w:rsid w:val="001801EC"/>
    <w:rsid w:val="00181494"/>
    <w:rsid w:val="001844F3"/>
    <w:rsid w:val="00193365"/>
    <w:rsid w:val="001B75AF"/>
    <w:rsid w:val="001D39CB"/>
    <w:rsid w:val="001E09AE"/>
    <w:rsid w:val="001F57FA"/>
    <w:rsid w:val="001F5C45"/>
    <w:rsid w:val="00206011"/>
    <w:rsid w:val="00212806"/>
    <w:rsid w:val="00217FF1"/>
    <w:rsid w:val="00223838"/>
    <w:rsid w:val="0022411B"/>
    <w:rsid w:val="00237176"/>
    <w:rsid w:val="002379B7"/>
    <w:rsid w:val="00243382"/>
    <w:rsid w:val="00247C54"/>
    <w:rsid w:val="00257D5B"/>
    <w:rsid w:val="00266AED"/>
    <w:rsid w:val="0027288C"/>
    <w:rsid w:val="0027533C"/>
    <w:rsid w:val="0027603F"/>
    <w:rsid w:val="00281D0D"/>
    <w:rsid w:val="002838B1"/>
    <w:rsid w:val="00293C23"/>
    <w:rsid w:val="002945E9"/>
    <w:rsid w:val="002A345D"/>
    <w:rsid w:val="002B0198"/>
    <w:rsid w:val="002B40CB"/>
    <w:rsid w:val="002C3EA8"/>
    <w:rsid w:val="002D7E9C"/>
    <w:rsid w:val="002E161E"/>
    <w:rsid w:val="002F0108"/>
    <w:rsid w:val="00300492"/>
    <w:rsid w:val="003032BE"/>
    <w:rsid w:val="00305C4A"/>
    <w:rsid w:val="00323E7B"/>
    <w:rsid w:val="003268C9"/>
    <w:rsid w:val="00342427"/>
    <w:rsid w:val="003478C8"/>
    <w:rsid w:val="00351477"/>
    <w:rsid w:val="0035662C"/>
    <w:rsid w:val="00373B31"/>
    <w:rsid w:val="00376B0C"/>
    <w:rsid w:val="00384F03"/>
    <w:rsid w:val="00386DFC"/>
    <w:rsid w:val="003921DF"/>
    <w:rsid w:val="003944FB"/>
    <w:rsid w:val="00394F9E"/>
    <w:rsid w:val="00395BAF"/>
    <w:rsid w:val="003B3332"/>
    <w:rsid w:val="003B51C5"/>
    <w:rsid w:val="003C47EC"/>
    <w:rsid w:val="003D06AD"/>
    <w:rsid w:val="003D3DC5"/>
    <w:rsid w:val="003D4413"/>
    <w:rsid w:val="003E31DC"/>
    <w:rsid w:val="00400B9E"/>
    <w:rsid w:val="00402FD5"/>
    <w:rsid w:val="00415028"/>
    <w:rsid w:val="0041627A"/>
    <w:rsid w:val="00421602"/>
    <w:rsid w:val="0042512B"/>
    <w:rsid w:val="004318DD"/>
    <w:rsid w:val="00435D07"/>
    <w:rsid w:val="00436F6B"/>
    <w:rsid w:val="004417B0"/>
    <w:rsid w:val="00445177"/>
    <w:rsid w:val="004452C9"/>
    <w:rsid w:val="004513C5"/>
    <w:rsid w:val="00453D3D"/>
    <w:rsid w:val="00454A76"/>
    <w:rsid w:val="00465F59"/>
    <w:rsid w:val="00466715"/>
    <w:rsid w:val="00467037"/>
    <w:rsid w:val="00475460"/>
    <w:rsid w:val="0047571E"/>
    <w:rsid w:val="00475B84"/>
    <w:rsid w:val="00494128"/>
    <w:rsid w:val="00494337"/>
    <w:rsid w:val="00496AE3"/>
    <w:rsid w:val="004A2741"/>
    <w:rsid w:val="004A4ADF"/>
    <w:rsid w:val="004A5E6C"/>
    <w:rsid w:val="004B058C"/>
    <w:rsid w:val="004B1828"/>
    <w:rsid w:val="004B34BC"/>
    <w:rsid w:val="004C002B"/>
    <w:rsid w:val="004C364A"/>
    <w:rsid w:val="004C4FF7"/>
    <w:rsid w:val="004C552F"/>
    <w:rsid w:val="004D06A8"/>
    <w:rsid w:val="004D1E60"/>
    <w:rsid w:val="004D22C6"/>
    <w:rsid w:val="004D4152"/>
    <w:rsid w:val="004D45A4"/>
    <w:rsid w:val="004F43C9"/>
    <w:rsid w:val="00503E48"/>
    <w:rsid w:val="005056BA"/>
    <w:rsid w:val="005071C9"/>
    <w:rsid w:val="00510A27"/>
    <w:rsid w:val="00515C89"/>
    <w:rsid w:val="00517664"/>
    <w:rsid w:val="00526BD2"/>
    <w:rsid w:val="0052702A"/>
    <w:rsid w:val="00527EBB"/>
    <w:rsid w:val="0053286D"/>
    <w:rsid w:val="00536503"/>
    <w:rsid w:val="0054025C"/>
    <w:rsid w:val="005403FB"/>
    <w:rsid w:val="00551051"/>
    <w:rsid w:val="005523EE"/>
    <w:rsid w:val="0056256A"/>
    <w:rsid w:val="00564CE8"/>
    <w:rsid w:val="005673A5"/>
    <w:rsid w:val="00573760"/>
    <w:rsid w:val="005856D3"/>
    <w:rsid w:val="00592E88"/>
    <w:rsid w:val="0059497C"/>
    <w:rsid w:val="005A0E3C"/>
    <w:rsid w:val="005A0EB7"/>
    <w:rsid w:val="005A1687"/>
    <w:rsid w:val="005A4ED7"/>
    <w:rsid w:val="005B198B"/>
    <w:rsid w:val="005B25C8"/>
    <w:rsid w:val="005B5EA6"/>
    <w:rsid w:val="005B7680"/>
    <w:rsid w:val="005C0064"/>
    <w:rsid w:val="005C2D77"/>
    <w:rsid w:val="005D03F4"/>
    <w:rsid w:val="005D1464"/>
    <w:rsid w:val="005D3DAC"/>
    <w:rsid w:val="005D441C"/>
    <w:rsid w:val="005D721F"/>
    <w:rsid w:val="005E2031"/>
    <w:rsid w:val="005E3612"/>
    <w:rsid w:val="005E53A9"/>
    <w:rsid w:val="005F18CB"/>
    <w:rsid w:val="00613556"/>
    <w:rsid w:val="006154FF"/>
    <w:rsid w:val="00623180"/>
    <w:rsid w:val="00635599"/>
    <w:rsid w:val="00636DC0"/>
    <w:rsid w:val="006404FD"/>
    <w:rsid w:val="00641198"/>
    <w:rsid w:val="0064166F"/>
    <w:rsid w:val="006435A3"/>
    <w:rsid w:val="00646504"/>
    <w:rsid w:val="00651C72"/>
    <w:rsid w:val="0066089B"/>
    <w:rsid w:val="0066135A"/>
    <w:rsid w:val="006615BA"/>
    <w:rsid w:val="00661612"/>
    <w:rsid w:val="00661B7A"/>
    <w:rsid w:val="00665066"/>
    <w:rsid w:val="00665AF3"/>
    <w:rsid w:val="0067152F"/>
    <w:rsid w:val="00671EC8"/>
    <w:rsid w:val="00672B91"/>
    <w:rsid w:val="00674706"/>
    <w:rsid w:val="00674E94"/>
    <w:rsid w:val="0067534D"/>
    <w:rsid w:val="00675E9D"/>
    <w:rsid w:val="00676E87"/>
    <w:rsid w:val="00681F11"/>
    <w:rsid w:val="00682AE9"/>
    <w:rsid w:val="00683378"/>
    <w:rsid w:val="00687D5E"/>
    <w:rsid w:val="00690E61"/>
    <w:rsid w:val="006A05E6"/>
    <w:rsid w:val="006A0626"/>
    <w:rsid w:val="006A27AD"/>
    <w:rsid w:val="006B20F7"/>
    <w:rsid w:val="006B515C"/>
    <w:rsid w:val="006C21BC"/>
    <w:rsid w:val="006C2E38"/>
    <w:rsid w:val="006C4808"/>
    <w:rsid w:val="006C483E"/>
    <w:rsid w:val="006C4E65"/>
    <w:rsid w:val="006C57F4"/>
    <w:rsid w:val="006D3A9A"/>
    <w:rsid w:val="006D7C6B"/>
    <w:rsid w:val="006E1E0F"/>
    <w:rsid w:val="006E290A"/>
    <w:rsid w:val="006E5342"/>
    <w:rsid w:val="006F4082"/>
    <w:rsid w:val="006F744B"/>
    <w:rsid w:val="00701430"/>
    <w:rsid w:val="00701733"/>
    <w:rsid w:val="007079AB"/>
    <w:rsid w:val="00713E5D"/>
    <w:rsid w:val="0071666F"/>
    <w:rsid w:val="007179CB"/>
    <w:rsid w:val="007211E8"/>
    <w:rsid w:val="0072412A"/>
    <w:rsid w:val="00730604"/>
    <w:rsid w:val="00731299"/>
    <w:rsid w:val="007326C3"/>
    <w:rsid w:val="00734E1E"/>
    <w:rsid w:val="00740D0B"/>
    <w:rsid w:val="00740E80"/>
    <w:rsid w:val="0074237E"/>
    <w:rsid w:val="00743148"/>
    <w:rsid w:val="00750F9A"/>
    <w:rsid w:val="00751624"/>
    <w:rsid w:val="0075325B"/>
    <w:rsid w:val="0075442E"/>
    <w:rsid w:val="007544D4"/>
    <w:rsid w:val="00762C64"/>
    <w:rsid w:val="00763272"/>
    <w:rsid w:val="00765A43"/>
    <w:rsid w:val="007663AF"/>
    <w:rsid w:val="00776E18"/>
    <w:rsid w:val="0078529D"/>
    <w:rsid w:val="00786012"/>
    <w:rsid w:val="007B09BE"/>
    <w:rsid w:val="007B30FD"/>
    <w:rsid w:val="007B38C4"/>
    <w:rsid w:val="007C1E63"/>
    <w:rsid w:val="007C2FD6"/>
    <w:rsid w:val="007C7B98"/>
    <w:rsid w:val="007D0BF9"/>
    <w:rsid w:val="007D5101"/>
    <w:rsid w:val="007D608B"/>
    <w:rsid w:val="007D6A22"/>
    <w:rsid w:val="007D7123"/>
    <w:rsid w:val="007F2189"/>
    <w:rsid w:val="007F4DC8"/>
    <w:rsid w:val="007F56B0"/>
    <w:rsid w:val="007F7AA5"/>
    <w:rsid w:val="008171A2"/>
    <w:rsid w:val="008276B0"/>
    <w:rsid w:val="0083363C"/>
    <w:rsid w:val="008365E6"/>
    <w:rsid w:val="00843CD5"/>
    <w:rsid w:val="0085106C"/>
    <w:rsid w:val="00860762"/>
    <w:rsid w:val="008648DD"/>
    <w:rsid w:val="00864D1B"/>
    <w:rsid w:val="00872F09"/>
    <w:rsid w:val="00873FA5"/>
    <w:rsid w:val="00876AFD"/>
    <w:rsid w:val="0087751F"/>
    <w:rsid w:val="00880149"/>
    <w:rsid w:val="008806BD"/>
    <w:rsid w:val="008944BB"/>
    <w:rsid w:val="00894CA3"/>
    <w:rsid w:val="00896960"/>
    <w:rsid w:val="00896FFC"/>
    <w:rsid w:val="008B521C"/>
    <w:rsid w:val="008B5DDE"/>
    <w:rsid w:val="008C0161"/>
    <w:rsid w:val="008C6327"/>
    <w:rsid w:val="008D052B"/>
    <w:rsid w:val="008D32D2"/>
    <w:rsid w:val="008D5041"/>
    <w:rsid w:val="008D565E"/>
    <w:rsid w:val="008D6D34"/>
    <w:rsid w:val="008D7D3E"/>
    <w:rsid w:val="008E3952"/>
    <w:rsid w:val="008F37AE"/>
    <w:rsid w:val="00923905"/>
    <w:rsid w:val="00927B08"/>
    <w:rsid w:val="00927FF5"/>
    <w:rsid w:val="00933CF9"/>
    <w:rsid w:val="00947D7C"/>
    <w:rsid w:val="009524D5"/>
    <w:rsid w:val="00954938"/>
    <w:rsid w:val="00954E32"/>
    <w:rsid w:val="00960E76"/>
    <w:rsid w:val="00961E83"/>
    <w:rsid w:val="00971E4F"/>
    <w:rsid w:val="00973F56"/>
    <w:rsid w:val="009746A1"/>
    <w:rsid w:val="009865C9"/>
    <w:rsid w:val="009A524C"/>
    <w:rsid w:val="009A54A7"/>
    <w:rsid w:val="009D16D5"/>
    <w:rsid w:val="009D259B"/>
    <w:rsid w:val="009D788F"/>
    <w:rsid w:val="009F20B2"/>
    <w:rsid w:val="00A01D3A"/>
    <w:rsid w:val="00A1155B"/>
    <w:rsid w:val="00A115F9"/>
    <w:rsid w:val="00A13D0F"/>
    <w:rsid w:val="00A21016"/>
    <w:rsid w:val="00A230F7"/>
    <w:rsid w:val="00A246D9"/>
    <w:rsid w:val="00A2713A"/>
    <w:rsid w:val="00A30BA1"/>
    <w:rsid w:val="00A32A71"/>
    <w:rsid w:val="00A43E0C"/>
    <w:rsid w:val="00A53596"/>
    <w:rsid w:val="00A57885"/>
    <w:rsid w:val="00A655D4"/>
    <w:rsid w:val="00A65B04"/>
    <w:rsid w:val="00A671EC"/>
    <w:rsid w:val="00A7055E"/>
    <w:rsid w:val="00A7588B"/>
    <w:rsid w:val="00A92718"/>
    <w:rsid w:val="00A94956"/>
    <w:rsid w:val="00AA1D25"/>
    <w:rsid w:val="00AA6F09"/>
    <w:rsid w:val="00AB2A4F"/>
    <w:rsid w:val="00AB3AAE"/>
    <w:rsid w:val="00AB3FEE"/>
    <w:rsid w:val="00AB7DA3"/>
    <w:rsid w:val="00AC70FA"/>
    <w:rsid w:val="00AC7882"/>
    <w:rsid w:val="00AC7DEB"/>
    <w:rsid w:val="00AD6537"/>
    <w:rsid w:val="00AD6964"/>
    <w:rsid w:val="00AE416C"/>
    <w:rsid w:val="00AF0D37"/>
    <w:rsid w:val="00AF5160"/>
    <w:rsid w:val="00AF5712"/>
    <w:rsid w:val="00AF7BB4"/>
    <w:rsid w:val="00B0650E"/>
    <w:rsid w:val="00B22068"/>
    <w:rsid w:val="00B24686"/>
    <w:rsid w:val="00B248D3"/>
    <w:rsid w:val="00B274F4"/>
    <w:rsid w:val="00B33A65"/>
    <w:rsid w:val="00B345AF"/>
    <w:rsid w:val="00B35661"/>
    <w:rsid w:val="00B43421"/>
    <w:rsid w:val="00B52CDB"/>
    <w:rsid w:val="00B54E03"/>
    <w:rsid w:val="00B5616B"/>
    <w:rsid w:val="00B579D8"/>
    <w:rsid w:val="00B608FB"/>
    <w:rsid w:val="00B6456C"/>
    <w:rsid w:val="00B65C5B"/>
    <w:rsid w:val="00B65DBF"/>
    <w:rsid w:val="00B86E5E"/>
    <w:rsid w:val="00B97909"/>
    <w:rsid w:val="00BA01EA"/>
    <w:rsid w:val="00BA0F3C"/>
    <w:rsid w:val="00BA12B8"/>
    <w:rsid w:val="00BA4873"/>
    <w:rsid w:val="00BB3183"/>
    <w:rsid w:val="00BB5F11"/>
    <w:rsid w:val="00BB6BB6"/>
    <w:rsid w:val="00BD2B61"/>
    <w:rsid w:val="00BD2C58"/>
    <w:rsid w:val="00BD4EDD"/>
    <w:rsid w:val="00BE156D"/>
    <w:rsid w:val="00BE4470"/>
    <w:rsid w:val="00BE5594"/>
    <w:rsid w:val="00BE6590"/>
    <w:rsid w:val="00BE6DA7"/>
    <w:rsid w:val="00BF24B1"/>
    <w:rsid w:val="00BF5B19"/>
    <w:rsid w:val="00BF69C4"/>
    <w:rsid w:val="00C0280D"/>
    <w:rsid w:val="00C037AC"/>
    <w:rsid w:val="00C0419D"/>
    <w:rsid w:val="00C11770"/>
    <w:rsid w:val="00C11F5B"/>
    <w:rsid w:val="00C1445E"/>
    <w:rsid w:val="00C158F1"/>
    <w:rsid w:val="00C16AA2"/>
    <w:rsid w:val="00C21565"/>
    <w:rsid w:val="00C21891"/>
    <w:rsid w:val="00C3064F"/>
    <w:rsid w:val="00C40D9E"/>
    <w:rsid w:val="00C44D9E"/>
    <w:rsid w:val="00C4587A"/>
    <w:rsid w:val="00C47E44"/>
    <w:rsid w:val="00C530A2"/>
    <w:rsid w:val="00C54371"/>
    <w:rsid w:val="00C54CF7"/>
    <w:rsid w:val="00C56C16"/>
    <w:rsid w:val="00C66B5E"/>
    <w:rsid w:val="00C67747"/>
    <w:rsid w:val="00C757D6"/>
    <w:rsid w:val="00C83850"/>
    <w:rsid w:val="00C83A2D"/>
    <w:rsid w:val="00C85CBE"/>
    <w:rsid w:val="00C90C44"/>
    <w:rsid w:val="00CA0F81"/>
    <w:rsid w:val="00CA79EB"/>
    <w:rsid w:val="00CB054F"/>
    <w:rsid w:val="00CC18E1"/>
    <w:rsid w:val="00CC6AB6"/>
    <w:rsid w:val="00CE2328"/>
    <w:rsid w:val="00CE426F"/>
    <w:rsid w:val="00CF146F"/>
    <w:rsid w:val="00CF2D80"/>
    <w:rsid w:val="00D00F5D"/>
    <w:rsid w:val="00D05E6F"/>
    <w:rsid w:val="00D10301"/>
    <w:rsid w:val="00D1101B"/>
    <w:rsid w:val="00D1122D"/>
    <w:rsid w:val="00D15DBE"/>
    <w:rsid w:val="00D2647E"/>
    <w:rsid w:val="00D31D68"/>
    <w:rsid w:val="00D40157"/>
    <w:rsid w:val="00D45E27"/>
    <w:rsid w:val="00D637D6"/>
    <w:rsid w:val="00D7018C"/>
    <w:rsid w:val="00D715F1"/>
    <w:rsid w:val="00D717E4"/>
    <w:rsid w:val="00D74744"/>
    <w:rsid w:val="00D770FE"/>
    <w:rsid w:val="00D80FCE"/>
    <w:rsid w:val="00D83115"/>
    <w:rsid w:val="00D87CA4"/>
    <w:rsid w:val="00D94125"/>
    <w:rsid w:val="00DB63B5"/>
    <w:rsid w:val="00DC2C4D"/>
    <w:rsid w:val="00DC32FE"/>
    <w:rsid w:val="00DC34D3"/>
    <w:rsid w:val="00DD2062"/>
    <w:rsid w:val="00DE2402"/>
    <w:rsid w:val="00DF75A7"/>
    <w:rsid w:val="00E03F1A"/>
    <w:rsid w:val="00E05554"/>
    <w:rsid w:val="00E064CF"/>
    <w:rsid w:val="00E10786"/>
    <w:rsid w:val="00E17085"/>
    <w:rsid w:val="00E224B7"/>
    <w:rsid w:val="00E22B88"/>
    <w:rsid w:val="00E22EDE"/>
    <w:rsid w:val="00E32697"/>
    <w:rsid w:val="00E41B9F"/>
    <w:rsid w:val="00E44524"/>
    <w:rsid w:val="00E46D7A"/>
    <w:rsid w:val="00E46EDB"/>
    <w:rsid w:val="00E55926"/>
    <w:rsid w:val="00E607B8"/>
    <w:rsid w:val="00E76072"/>
    <w:rsid w:val="00E77A31"/>
    <w:rsid w:val="00E80FD4"/>
    <w:rsid w:val="00E935D4"/>
    <w:rsid w:val="00E93A1A"/>
    <w:rsid w:val="00E94C29"/>
    <w:rsid w:val="00EA02D9"/>
    <w:rsid w:val="00EA491C"/>
    <w:rsid w:val="00EA5225"/>
    <w:rsid w:val="00EB0E1D"/>
    <w:rsid w:val="00EB12DB"/>
    <w:rsid w:val="00EB2769"/>
    <w:rsid w:val="00EB2DBF"/>
    <w:rsid w:val="00EB4522"/>
    <w:rsid w:val="00EB64BC"/>
    <w:rsid w:val="00EC6A36"/>
    <w:rsid w:val="00EE45DB"/>
    <w:rsid w:val="00EF34D6"/>
    <w:rsid w:val="00F0122B"/>
    <w:rsid w:val="00F02901"/>
    <w:rsid w:val="00F110E7"/>
    <w:rsid w:val="00F136DB"/>
    <w:rsid w:val="00F15084"/>
    <w:rsid w:val="00F154D8"/>
    <w:rsid w:val="00F24189"/>
    <w:rsid w:val="00F25153"/>
    <w:rsid w:val="00F25915"/>
    <w:rsid w:val="00F261AC"/>
    <w:rsid w:val="00F26560"/>
    <w:rsid w:val="00F30853"/>
    <w:rsid w:val="00F3675C"/>
    <w:rsid w:val="00F41E93"/>
    <w:rsid w:val="00F531F7"/>
    <w:rsid w:val="00F55297"/>
    <w:rsid w:val="00F55D33"/>
    <w:rsid w:val="00F73795"/>
    <w:rsid w:val="00F80174"/>
    <w:rsid w:val="00F80790"/>
    <w:rsid w:val="00F81BA8"/>
    <w:rsid w:val="00F91985"/>
    <w:rsid w:val="00F919D8"/>
    <w:rsid w:val="00F91ED0"/>
    <w:rsid w:val="00F93B80"/>
    <w:rsid w:val="00FB1296"/>
    <w:rsid w:val="00FB2115"/>
    <w:rsid w:val="00FB21EF"/>
    <w:rsid w:val="00FB299C"/>
    <w:rsid w:val="00FB309D"/>
    <w:rsid w:val="00FB3777"/>
    <w:rsid w:val="00FB6013"/>
    <w:rsid w:val="00FC160E"/>
    <w:rsid w:val="00FC2834"/>
    <w:rsid w:val="00FC365A"/>
    <w:rsid w:val="00FE140D"/>
    <w:rsid w:val="00FE2596"/>
    <w:rsid w:val="00FE7D4D"/>
    <w:rsid w:val="00FF45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978F0"/>
  <w15:docId w15:val="{B273160C-5A21-4DBF-8AAF-57FB120A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2D9"/>
    <w:pPr>
      <w:widowControl w:val="0"/>
      <w:adjustRightInd w:val="0"/>
      <w:spacing w:line="360" w:lineRule="atLeast"/>
      <w:jc w:val="both"/>
      <w:textAlignment w:val="baseline"/>
    </w:pPr>
    <w:rPr>
      <w:lang w:eastAsia="en-US"/>
    </w:rPr>
  </w:style>
  <w:style w:type="paragraph" w:styleId="1">
    <w:name w:val="heading 1"/>
    <w:basedOn w:val="a"/>
    <w:next w:val="a"/>
    <w:link w:val="1Char"/>
    <w:uiPriority w:val="99"/>
    <w:qFormat/>
    <w:rsid w:val="00EA02D9"/>
    <w:pPr>
      <w:keepNext/>
      <w:spacing w:line="360" w:lineRule="auto"/>
      <w:outlineLvl w:val="0"/>
    </w:pPr>
    <w:rPr>
      <w:b/>
      <w:bCs/>
      <w:sz w:val="24"/>
      <w:szCs w:val="24"/>
    </w:rPr>
  </w:style>
  <w:style w:type="paragraph" w:styleId="2">
    <w:name w:val="heading 2"/>
    <w:basedOn w:val="a"/>
    <w:next w:val="a"/>
    <w:link w:val="2Char"/>
    <w:uiPriority w:val="99"/>
    <w:qFormat/>
    <w:rsid w:val="00EA02D9"/>
    <w:pPr>
      <w:keepNext/>
      <w:spacing w:line="360" w:lineRule="auto"/>
      <w:outlineLvl w:val="1"/>
    </w:pPr>
    <w:rPr>
      <w:b/>
      <w:bCs/>
      <w:sz w:val="24"/>
      <w:szCs w:val="24"/>
    </w:rPr>
  </w:style>
  <w:style w:type="paragraph" w:styleId="3">
    <w:name w:val="heading 3"/>
    <w:basedOn w:val="a"/>
    <w:next w:val="a"/>
    <w:link w:val="3Char"/>
    <w:uiPriority w:val="99"/>
    <w:qFormat/>
    <w:rsid w:val="00EA02D9"/>
    <w:pPr>
      <w:keepNext/>
      <w:spacing w:line="360" w:lineRule="auto"/>
      <w:jc w:val="center"/>
      <w:outlineLvl w:val="2"/>
    </w:pPr>
    <w:rPr>
      <w:sz w:val="24"/>
      <w:szCs w:val="24"/>
    </w:rPr>
  </w:style>
  <w:style w:type="paragraph" w:styleId="4">
    <w:name w:val="heading 4"/>
    <w:basedOn w:val="a"/>
    <w:next w:val="a"/>
    <w:link w:val="4Char"/>
    <w:uiPriority w:val="99"/>
    <w:qFormat/>
    <w:rsid w:val="00EA02D9"/>
    <w:pPr>
      <w:keepNext/>
      <w:outlineLvl w:val="3"/>
    </w:pPr>
    <w:rPr>
      <w:b/>
      <w:bCs/>
      <w:sz w:val="28"/>
      <w:szCs w:val="28"/>
      <w:u w:val="single"/>
      <w:lang w:val="en-US"/>
    </w:rPr>
  </w:style>
  <w:style w:type="paragraph" w:styleId="5">
    <w:name w:val="heading 5"/>
    <w:basedOn w:val="a"/>
    <w:next w:val="a"/>
    <w:link w:val="5Char"/>
    <w:uiPriority w:val="99"/>
    <w:qFormat/>
    <w:rsid w:val="00EA02D9"/>
    <w:pPr>
      <w:keepNext/>
      <w:spacing w:line="360" w:lineRule="auto"/>
      <w:jc w:val="right"/>
      <w:outlineLvl w:val="4"/>
    </w:pPr>
    <w:rPr>
      <w:sz w:val="24"/>
      <w:szCs w:val="24"/>
      <w:lang w:val="en-US"/>
    </w:rPr>
  </w:style>
  <w:style w:type="paragraph" w:styleId="6">
    <w:name w:val="heading 6"/>
    <w:basedOn w:val="a"/>
    <w:next w:val="a"/>
    <w:link w:val="6Char"/>
    <w:uiPriority w:val="99"/>
    <w:qFormat/>
    <w:rsid w:val="00EA02D9"/>
    <w:pPr>
      <w:keepNext/>
      <w:outlineLvl w:val="5"/>
    </w:pPr>
    <w:rPr>
      <w:b/>
      <w:bCs/>
      <w:sz w:val="18"/>
      <w:szCs w:val="18"/>
    </w:rPr>
  </w:style>
  <w:style w:type="paragraph" w:styleId="7">
    <w:name w:val="heading 7"/>
    <w:basedOn w:val="a"/>
    <w:next w:val="a"/>
    <w:link w:val="7Char"/>
    <w:unhideWhenUsed/>
    <w:qFormat/>
    <w:locked/>
    <w:rsid w:val="00BA12B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A5E6C"/>
    <w:rPr>
      <w:rFonts w:ascii="Cambria" w:hAnsi="Cambria" w:cs="Cambria"/>
      <w:b/>
      <w:bCs/>
      <w:kern w:val="32"/>
      <w:sz w:val="32"/>
      <w:szCs w:val="32"/>
      <w:lang w:eastAsia="en-US"/>
    </w:rPr>
  </w:style>
  <w:style w:type="character" w:customStyle="1" w:styleId="2Char">
    <w:name w:val="Επικεφαλίδα 2 Char"/>
    <w:link w:val="2"/>
    <w:uiPriority w:val="99"/>
    <w:semiHidden/>
    <w:locked/>
    <w:rsid w:val="004A5E6C"/>
    <w:rPr>
      <w:rFonts w:ascii="Cambria" w:hAnsi="Cambria" w:cs="Cambria"/>
      <w:b/>
      <w:bCs/>
      <w:i/>
      <w:iCs/>
      <w:sz w:val="28"/>
      <w:szCs w:val="28"/>
      <w:lang w:eastAsia="en-US"/>
    </w:rPr>
  </w:style>
  <w:style w:type="character" w:customStyle="1" w:styleId="3Char">
    <w:name w:val="Επικεφαλίδα 3 Char"/>
    <w:link w:val="3"/>
    <w:uiPriority w:val="99"/>
    <w:semiHidden/>
    <w:locked/>
    <w:rsid w:val="004A5E6C"/>
    <w:rPr>
      <w:rFonts w:ascii="Cambria" w:hAnsi="Cambria" w:cs="Cambria"/>
      <w:b/>
      <w:bCs/>
      <w:sz w:val="26"/>
      <w:szCs w:val="26"/>
      <w:lang w:eastAsia="en-US"/>
    </w:rPr>
  </w:style>
  <w:style w:type="character" w:customStyle="1" w:styleId="4Char">
    <w:name w:val="Επικεφαλίδα 4 Char"/>
    <w:link w:val="4"/>
    <w:uiPriority w:val="99"/>
    <w:semiHidden/>
    <w:locked/>
    <w:rsid w:val="004A5E6C"/>
    <w:rPr>
      <w:rFonts w:ascii="Calibri" w:hAnsi="Calibri" w:cs="Calibri"/>
      <w:b/>
      <w:bCs/>
      <w:sz w:val="28"/>
      <w:szCs w:val="28"/>
      <w:lang w:eastAsia="en-US"/>
    </w:rPr>
  </w:style>
  <w:style w:type="character" w:customStyle="1" w:styleId="5Char">
    <w:name w:val="Επικεφαλίδα 5 Char"/>
    <w:link w:val="5"/>
    <w:uiPriority w:val="99"/>
    <w:semiHidden/>
    <w:locked/>
    <w:rsid w:val="004A5E6C"/>
    <w:rPr>
      <w:rFonts w:ascii="Calibri" w:hAnsi="Calibri" w:cs="Calibri"/>
      <w:b/>
      <w:bCs/>
      <w:i/>
      <w:iCs/>
      <w:sz w:val="26"/>
      <w:szCs w:val="26"/>
      <w:lang w:eastAsia="en-US"/>
    </w:rPr>
  </w:style>
  <w:style w:type="character" w:customStyle="1" w:styleId="6Char">
    <w:name w:val="Επικεφαλίδα 6 Char"/>
    <w:link w:val="6"/>
    <w:uiPriority w:val="99"/>
    <w:semiHidden/>
    <w:locked/>
    <w:rsid w:val="004A5E6C"/>
    <w:rPr>
      <w:rFonts w:ascii="Calibri" w:hAnsi="Calibri" w:cs="Calibri"/>
      <w:b/>
      <w:bCs/>
      <w:sz w:val="22"/>
      <w:szCs w:val="22"/>
      <w:lang w:eastAsia="en-US"/>
    </w:rPr>
  </w:style>
  <w:style w:type="paragraph" w:styleId="a3">
    <w:name w:val="footer"/>
    <w:basedOn w:val="a"/>
    <w:link w:val="Char"/>
    <w:uiPriority w:val="99"/>
    <w:rsid w:val="00EA02D9"/>
    <w:pPr>
      <w:tabs>
        <w:tab w:val="center" w:pos="4153"/>
        <w:tab w:val="right" w:pos="8306"/>
      </w:tabs>
    </w:pPr>
  </w:style>
  <w:style w:type="character" w:customStyle="1" w:styleId="Char">
    <w:name w:val="Υποσέλιδο Char"/>
    <w:link w:val="a3"/>
    <w:uiPriority w:val="99"/>
    <w:semiHidden/>
    <w:locked/>
    <w:rsid w:val="004A5E6C"/>
    <w:rPr>
      <w:rFonts w:cs="Times New Roman"/>
      <w:lang w:eastAsia="en-US"/>
    </w:rPr>
  </w:style>
  <w:style w:type="character" w:styleId="a4">
    <w:name w:val="page number"/>
    <w:uiPriority w:val="99"/>
    <w:rsid w:val="00EA02D9"/>
    <w:rPr>
      <w:rFonts w:cs="Times New Roman"/>
    </w:rPr>
  </w:style>
  <w:style w:type="paragraph" w:customStyle="1" w:styleId="15">
    <w:name w:val="Στυλ Πλήρης Διάστιχο:  15 γραμμή"/>
    <w:basedOn w:val="a"/>
    <w:uiPriority w:val="99"/>
    <w:rsid w:val="00A30BA1"/>
  </w:style>
  <w:style w:type="table" w:styleId="a5">
    <w:name w:val="Table Grid"/>
    <w:basedOn w:val="a1"/>
    <w:uiPriority w:val="99"/>
    <w:rsid w:val="008D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rsid w:val="00E607B8"/>
    <w:pPr>
      <w:tabs>
        <w:tab w:val="center" w:pos="4153"/>
        <w:tab w:val="right" w:pos="8306"/>
      </w:tabs>
    </w:pPr>
  </w:style>
  <w:style w:type="character" w:customStyle="1" w:styleId="Char0">
    <w:name w:val="Κεφαλίδα Char"/>
    <w:link w:val="a6"/>
    <w:uiPriority w:val="99"/>
    <w:semiHidden/>
    <w:locked/>
    <w:rsid w:val="000A3567"/>
    <w:rPr>
      <w:rFonts w:cs="Times New Roman"/>
      <w:sz w:val="20"/>
      <w:szCs w:val="20"/>
      <w:lang w:eastAsia="en-US"/>
    </w:rPr>
  </w:style>
  <w:style w:type="paragraph" w:styleId="a7">
    <w:name w:val="List Paragraph"/>
    <w:basedOn w:val="a"/>
    <w:uiPriority w:val="34"/>
    <w:qFormat/>
    <w:rsid w:val="001B75AF"/>
    <w:pPr>
      <w:ind w:left="720"/>
      <w:contextualSpacing/>
    </w:pPr>
  </w:style>
  <w:style w:type="character" w:styleId="-">
    <w:name w:val="Hyperlink"/>
    <w:uiPriority w:val="99"/>
    <w:unhideWhenUsed/>
    <w:rsid w:val="006D3A9A"/>
    <w:rPr>
      <w:color w:val="0000FF"/>
      <w:u w:val="single"/>
    </w:rPr>
  </w:style>
  <w:style w:type="paragraph" w:styleId="a8">
    <w:name w:val="Balloon Text"/>
    <w:basedOn w:val="a"/>
    <w:link w:val="Char1"/>
    <w:uiPriority w:val="99"/>
    <w:semiHidden/>
    <w:unhideWhenUsed/>
    <w:rsid w:val="00665AF3"/>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665AF3"/>
    <w:rPr>
      <w:rFonts w:ascii="Tahoma" w:hAnsi="Tahoma" w:cs="Tahoma"/>
      <w:sz w:val="16"/>
      <w:szCs w:val="16"/>
      <w:lang w:eastAsia="en-US"/>
    </w:rPr>
  </w:style>
  <w:style w:type="character" w:customStyle="1" w:styleId="7Char">
    <w:name w:val="Επικεφαλίδα 7 Char"/>
    <w:basedOn w:val="a0"/>
    <w:link w:val="7"/>
    <w:rsid w:val="00BA12B8"/>
    <w:rPr>
      <w:rFonts w:asciiTheme="majorHAnsi" w:eastAsiaTheme="majorEastAsia" w:hAnsiTheme="majorHAnsi" w:cstheme="majorBidi"/>
      <w:i/>
      <w:iCs/>
      <w:color w:val="243F60" w:themeColor="accent1" w:themeShade="7F"/>
      <w:lang w:eastAsia="en-US"/>
    </w:rPr>
  </w:style>
  <w:style w:type="character" w:customStyle="1" w:styleId="font1211">
    <w:name w:val="font1211"/>
    <w:basedOn w:val="a0"/>
    <w:rsid w:val="00415028"/>
    <w:rPr>
      <w:rFonts w:ascii="Tahoma" w:hAnsi="Tahoma" w:cs="Tahoma" w:hint="default"/>
      <w:b w:val="0"/>
      <w:bCs w:val="0"/>
      <w:i w:val="0"/>
      <w:iCs w:val="0"/>
      <w:strike w:val="0"/>
      <w:dstrike w:val="0"/>
      <w:color w:val="auto"/>
      <w:sz w:val="18"/>
      <w:szCs w:val="18"/>
      <w:u w:val="none"/>
      <w:effect w:val="none"/>
    </w:rPr>
  </w:style>
  <w:style w:type="character" w:customStyle="1" w:styleId="font2971">
    <w:name w:val="font2971"/>
    <w:basedOn w:val="a0"/>
    <w:rsid w:val="00415028"/>
    <w:rPr>
      <w:rFonts w:ascii="Tahoma" w:hAnsi="Tahoma" w:cs="Tahoma" w:hint="default"/>
      <w:b/>
      <w:bCs/>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35">
      <w:bodyDiv w:val="1"/>
      <w:marLeft w:val="0"/>
      <w:marRight w:val="0"/>
      <w:marTop w:val="0"/>
      <w:marBottom w:val="0"/>
      <w:divBdr>
        <w:top w:val="none" w:sz="0" w:space="0" w:color="auto"/>
        <w:left w:val="none" w:sz="0" w:space="0" w:color="auto"/>
        <w:bottom w:val="none" w:sz="0" w:space="0" w:color="auto"/>
        <w:right w:val="none" w:sz="0" w:space="0" w:color="auto"/>
      </w:divBdr>
    </w:div>
    <w:div w:id="3820864">
      <w:bodyDiv w:val="1"/>
      <w:marLeft w:val="0"/>
      <w:marRight w:val="0"/>
      <w:marTop w:val="0"/>
      <w:marBottom w:val="0"/>
      <w:divBdr>
        <w:top w:val="none" w:sz="0" w:space="0" w:color="auto"/>
        <w:left w:val="none" w:sz="0" w:space="0" w:color="auto"/>
        <w:bottom w:val="none" w:sz="0" w:space="0" w:color="auto"/>
        <w:right w:val="none" w:sz="0" w:space="0" w:color="auto"/>
      </w:divBdr>
    </w:div>
    <w:div w:id="17320435">
      <w:bodyDiv w:val="1"/>
      <w:marLeft w:val="0"/>
      <w:marRight w:val="0"/>
      <w:marTop w:val="0"/>
      <w:marBottom w:val="0"/>
      <w:divBdr>
        <w:top w:val="none" w:sz="0" w:space="0" w:color="auto"/>
        <w:left w:val="none" w:sz="0" w:space="0" w:color="auto"/>
        <w:bottom w:val="none" w:sz="0" w:space="0" w:color="auto"/>
        <w:right w:val="none" w:sz="0" w:space="0" w:color="auto"/>
      </w:divBdr>
    </w:div>
    <w:div w:id="24334872">
      <w:bodyDiv w:val="1"/>
      <w:marLeft w:val="0"/>
      <w:marRight w:val="0"/>
      <w:marTop w:val="0"/>
      <w:marBottom w:val="0"/>
      <w:divBdr>
        <w:top w:val="none" w:sz="0" w:space="0" w:color="auto"/>
        <w:left w:val="none" w:sz="0" w:space="0" w:color="auto"/>
        <w:bottom w:val="none" w:sz="0" w:space="0" w:color="auto"/>
        <w:right w:val="none" w:sz="0" w:space="0" w:color="auto"/>
      </w:divBdr>
    </w:div>
    <w:div w:id="38363423">
      <w:bodyDiv w:val="1"/>
      <w:marLeft w:val="0"/>
      <w:marRight w:val="0"/>
      <w:marTop w:val="0"/>
      <w:marBottom w:val="0"/>
      <w:divBdr>
        <w:top w:val="none" w:sz="0" w:space="0" w:color="auto"/>
        <w:left w:val="none" w:sz="0" w:space="0" w:color="auto"/>
        <w:bottom w:val="none" w:sz="0" w:space="0" w:color="auto"/>
        <w:right w:val="none" w:sz="0" w:space="0" w:color="auto"/>
      </w:divBdr>
    </w:div>
    <w:div w:id="38870444">
      <w:bodyDiv w:val="1"/>
      <w:marLeft w:val="0"/>
      <w:marRight w:val="0"/>
      <w:marTop w:val="0"/>
      <w:marBottom w:val="0"/>
      <w:divBdr>
        <w:top w:val="none" w:sz="0" w:space="0" w:color="auto"/>
        <w:left w:val="none" w:sz="0" w:space="0" w:color="auto"/>
        <w:bottom w:val="none" w:sz="0" w:space="0" w:color="auto"/>
        <w:right w:val="none" w:sz="0" w:space="0" w:color="auto"/>
      </w:divBdr>
    </w:div>
    <w:div w:id="45226752">
      <w:bodyDiv w:val="1"/>
      <w:marLeft w:val="0"/>
      <w:marRight w:val="0"/>
      <w:marTop w:val="0"/>
      <w:marBottom w:val="0"/>
      <w:divBdr>
        <w:top w:val="none" w:sz="0" w:space="0" w:color="auto"/>
        <w:left w:val="none" w:sz="0" w:space="0" w:color="auto"/>
        <w:bottom w:val="none" w:sz="0" w:space="0" w:color="auto"/>
        <w:right w:val="none" w:sz="0" w:space="0" w:color="auto"/>
      </w:divBdr>
    </w:div>
    <w:div w:id="51512227">
      <w:bodyDiv w:val="1"/>
      <w:marLeft w:val="0"/>
      <w:marRight w:val="0"/>
      <w:marTop w:val="0"/>
      <w:marBottom w:val="0"/>
      <w:divBdr>
        <w:top w:val="none" w:sz="0" w:space="0" w:color="auto"/>
        <w:left w:val="none" w:sz="0" w:space="0" w:color="auto"/>
        <w:bottom w:val="none" w:sz="0" w:space="0" w:color="auto"/>
        <w:right w:val="none" w:sz="0" w:space="0" w:color="auto"/>
      </w:divBdr>
    </w:div>
    <w:div w:id="72120387">
      <w:bodyDiv w:val="1"/>
      <w:marLeft w:val="0"/>
      <w:marRight w:val="0"/>
      <w:marTop w:val="0"/>
      <w:marBottom w:val="0"/>
      <w:divBdr>
        <w:top w:val="none" w:sz="0" w:space="0" w:color="auto"/>
        <w:left w:val="none" w:sz="0" w:space="0" w:color="auto"/>
        <w:bottom w:val="none" w:sz="0" w:space="0" w:color="auto"/>
        <w:right w:val="none" w:sz="0" w:space="0" w:color="auto"/>
      </w:divBdr>
    </w:div>
    <w:div w:id="117722240">
      <w:bodyDiv w:val="1"/>
      <w:marLeft w:val="0"/>
      <w:marRight w:val="0"/>
      <w:marTop w:val="0"/>
      <w:marBottom w:val="0"/>
      <w:divBdr>
        <w:top w:val="none" w:sz="0" w:space="0" w:color="auto"/>
        <w:left w:val="none" w:sz="0" w:space="0" w:color="auto"/>
        <w:bottom w:val="none" w:sz="0" w:space="0" w:color="auto"/>
        <w:right w:val="none" w:sz="0" w:space="0" w:color="auto"/>
      </w:divBdr>
    </w:div>
    <w:div w:id="223103707">
      <w:bodyDiv w:val="1"/>
      <w:marLeft w:val="0"/>
      <w:marRight w:val="0"/>
      <w:marTop w:val="0"/>
      <w:marBottom w:val="0"/>
      <w:divBdr>
        <w:top w:val="none" w:sz="0" w:space="0" w:color="auto"/>
        <w:left w:val="none" w:sz="0" w:space="0" w:color="auto"/>
        <w:bottom w:val="none" w:sz="0" w:space="0" w:color="auto"/>
        <w:right w:val="none" w:sz="0" w:space="0" w:color="auto"/>
      </w:divBdr>
    </w:div>
    <w:div w:id="302778666">
      <w:bodyDiv w:val="1"/>
      <w:marLeft w:val="0"/>
      <w:marRight w:val="0"/>
      <w:marTop w:val="0"/>
      <w:marBottom w:val="0"/>
      <w:divBdr>
        <w:top w:val="none" w:sz="0" w:space="0" w:color="auto"/>
        <w:left w:val="none" w:sz="0" w:space="0" w:color="auto"/>
        <w:bottom w:val="none" w:sz="0" w:space="0" w:color="auto"/>
        <w:right w:val="none" w:sz="0" w:space="0" w:color="auto"/>
      </w:divBdr>
    </w:div>
    <w:div w:id="314578564">
      <w:bodyDiv w:val="1"/>
      <w:marLeft w:val="0"/>
      <w:marRight w:val="0"/>
      <w:marTop w:val="0"/>
      <w:marBottom w:val="0"/>
      <w:divBdr>
        <w:top w:val="none" w:sz="0" w:space="0" w:color="auto"/>
        <w:left w:val="none" w:sz="0" w:space="0" w:color="auto"/>
        <w:bottom w:val="none" w:sz="0" w:space="0" w:color="auto"/>
        <w:right w:val="none" w:sz="0" w:space="0" w:color="auto"/>
      </w:divBdr>
    </w:div>
    <w:div w:id="338429435">
      <w:bodyDiv w:val="1"/>
      <w:marLeft w:val="0"/>
      <w:marRight w:val="0"/>
      <w:marTop w:val="0"/>
      <w:marBottom w:val="0"/>
      <w:divBdr>
        <w:top w:val="none" w:sz="0" w:space="0" w:color="auto"/>
        <w:left w:val="none" w:sz="0" w:space="0" w:color="auto"/>
        <w:bottom w:val="none" w:sz="0" w:space="0" w:color="auto"/>
        <w:right w:val="none" w:sz="0" w:space="0" w:color="auto"/>
      </w:divBdr>
    </w:div>
    <w:div w:id="390007821">
      <w:bodyDiv w:val="1"/>
      <w:marLeft w:val="0"/>
      <w:marRight w:val="0"/>
      <w:marTop w:val="0"/>
      <w:marBottom w:val="0"/>
      <w:divBdr>
        <w:top w:val="none" w:sz="0" w:space="0" w:color="auto"/>
        <w:left w:val="none" w:sz="0" w:space="0" w:color="auto"/>
        <w:bottom w:val="none" w:sz="0" w:space="0" w:color="auto"/>
        <w:right w:val="none" w:sz="0" w:space="0" w:color="auto"/>
      </w:divBdr>
    </w:div>
    <w:div w:id="396439587">
      <w:bodyDiv w:val="1"/>
      <w:marLeft w:val="0"/>
      <w:marRight w:val="0"/>
      <w:marTop w:val="0"/>
      <w:marBottom w:val="0"/>
      <w:divBdr>
        <w:top w:val="none" w:sz="0" w:space="0" w:color="auto"/>
        <w:left w:val="none" w:sz="0" w:space="0" w:color="auto"/>
        <w:bottom w:val="none" w:sz="0" w:space="0" w:color="auto"/>
        <w:right w:val="none" w:sz="0" w:space="0" w:color="auto"/>
      </w:divBdr>
    </w:div>
    <w:div w:id="397675316">
      <w:bodyDiv w:val="1"/>
      <w:marLeft w:val="0"/>
      <w:marRight w:val="0"/>
      <w:marTop w:val="0"/>
      <w:marBottom w:val="0"/>
      <w:divBdr>
        <w:top w:val="none" w:sz="0" w:space="0" w:color="auto"/>
        <w:left w:val="none" w:sz="0" w:space="0" w:color="auto"/>
        <w:bottom w:val="none" w:sz="0" w:space="0" w:color="auto"/>
        <w:right w:val="none" w:sz="0" w:space="0" w:color="auto"/>
      </w:divBdr>
    </w:div>
    <w:div w:id="427772744">
      <w:bodyDiv w:val="1"/>
      <w:marLeft w:val="0"/>
      <w:marRight w:val="0"/>
      <w:marTop w:val="0"/>
      <w:marBottom w:val="0"/>
      <w:divBdr>
        <w:top w:val="none" w:sz="0" w:space="0" w:color="auto"/>
        <w:left w:val="none" w:sz="0" w:space="0" w:color="auto"/>
        <w:bottom w:val="none" w:sz="0" w:space="0" w:color="auto"/>
        <w:right w:val="none" w:sz="0" w:space="0" w:color="auto"/>
      </w:divBdr>
    </w:div>
    <w:div w:id="432045737">
      <w:bodyDiv w:val="1"/>
      <w:marLeft w:val="0"/>
      <w:marRight w:val="0"/>
      <w:marTop w:val="0"/>
      <w:marBottom w:val="0"/>
      <w:divBdr>
        <w:top w:val="none" w:sz="0" w:space="0" w:color="auto"/>
        <w:left w:val="none" w:sz="0" w:space="0" w:color="auto"/>
        <w:bottom w:val="none" w:sz="0" w:space="0" w:color="auto"/>
        <w:right w:val="none" w:sz="0" w:space="0" w:color="auto"/>
      </w:divBdr>
    </w:div>
    <w:div w:id="461768922">
      <w:bodyDiv w:val="1"/>
      <w:marLeft w:val="0"/>
      <w:marRight w:val="0"/>
      <w:marTop w:val="0"/>
      <w:marBottom w:val="0"/>
      <w:divBdr>
        <w:top w:val="none" w:sz="0" w:space="0" w:color="auto"/>
        <w:left w:val="none" w:sz="0" w:space="0" w:color="auto"/>
        <w:bottom w:val="none" w:sz="0" w:space="0" w:color="auto"/>
        <w:right w:val="none" w:sz="0" w:space="0" w:color="auto"/>
      </w:divBdr>
    </w:div>
    <w:div w:id="473180493">
      <w:bodyDiv w:val="1"/>
      <w:marLeft w:val="0"/>
      <w:marRight w:val="0"/>
      <w:marTop w:val="0"/>
      <w:marBottom w:val="0"/>
      <w:divBdr>
        <w:top w:val="none" w:sz="0" w:space="0" w:color="auto"/>
        <w:left w:val="none" w:sz="0" w:space="0" w:color="auto"/>
        <w:bottom w:val="none" w:sz="0" w:space="0" w:color="auto"/>
        <w:right w:val="none" w:sz="0" w:space="0" w:color="auto"/>
      </w:divBdr>
    </w:div>
    <w:div w:id="484322260">
      <w:bodyDiv w:val="1"/>
      <w:marLeft w:val="0"/>
      <w:marRight w:val="0"/>
      <w:marTop w:val="0"/>
      <w:marBottom w:val="0"/>
      <w:divBdr>
        <w:top w:val="none" w:sz="0" w:space="0" w:color="auto"/>
        <w:left w:val="none" w:sz="0" w:space="0" w:color="auto"/>
        <w:bottom w:val="none" w:sz="0" w:space="0" w:color="auto"/>
        <w:right w:val="none" w:sz="0" w:space="0" w:color="auto"/>
      </w:divBdr>
    </w:div>
    <w:div w:id="488450895">
      <w:bodyDiv w:val="1"/>
      <w:marLeft w:val="0"/>
      <w:marRight w:val="0"/>
      <w:marTop w:val="0"/>
      <w:marBottom w:val="0"/>
      <w:divBdr>
        <w:top w:val="none" w:sz="0" w:space="0" w:color="auto"/>
        <w:left w:val="none" w:sz="0" w:space="0" w:color="auto"/>
        <w:bottom w:val="none" w:sz="0" w:space="0" w:color="auto"/>
        <w:right w:val="none" w:sz="0" w:space="0" w:color="auto"/>
      </w:divBdr>
    </w:div>
    <w:div w:id="493381320">
      <w:bodyDiv w:val="1"/>
      <w:marLeft w:val="0"/>
      <w:marRight w:val="0"/>
      <w:marTop w:val="0"/>
      <w:marBottom w:val="0"/>
      <w:divBdr>
        <w:top w:val="none" w:sz="0" w:space="0" w:color="auto"/>
        <w:left w:val="none" w:sz="0" w:space="0" w:color="auto"/>
        <w:bottom w:val="none" w:sz="0" w:space="0" w:color="auto"/>
        <w:right w:val="none" w:sz="0" w:space="0" w:color="auto"/>
      </w:divBdr>
    </w:div>
    <w:div w:id="621421314">
      <w:bodyDiv w:val="1"/>
      <w:marLeft w:val="0"/>
      <w:marRight w:val="0"/>
      <w:marTop w:val="0"/>
      <w:marBottom w:val="0"/>
      <w:divBdr>
        <w:top w:val="none" w:sz="0" w:space="0" w:color="auto"/>
        <w:left w:val="none" w:sz="0" w:space="0" w:color="auto"/>
        <w:bottom w:val="none" w:sz="0" w:space="0" w:color="auto"/>
        <w:right w:val="none" w:sz="0" w:space="0" w:color="auto"/>
      </w:divBdr>
    </w:div>
    <w:div w:id="623921581">
      <w:bodyDiv w:val="1"/>
      <w:marLeft w:val="0"/>
      <w:marRight w:val="0"/>
      <w:marTop w:val="0"/>
      <w:marBottom w:val="0"/>
      <w:divBdr>
        <w:top w:val="none" w:sz="0" w:space="0" w:color="auto"/>
        <w:left w:val="none" w:sz="0" w:space="0" w:color="auto"/>
        <w:bottom w:val="none" w:sz="0" w:space="0" w:color="auto"/>
        <w:right w:val="none" w:sz="0" w:space="0" w:color="auto"/>
      </w:divBdr>
    </w:div>
    <w:div w:id="681708441">
      <w:bodyDiv w:val="1"/>
      <w:marLeft w:val="0"/>
      <w:marRight w:val="0"/>
      <w:marTop w:val="0"/>
      <w:marBottom w:val="0"/>
      <w:divBdr>
        <w:top w:val="none" w:sz="0" w:space="0" w:color="auto"/>
        <w:left w:val="none" w:sz="0" w:space="0" w:color="auto"/>
        <w:bottom w:val="none" w:sz="0" w:space="0" w:color="auto"/>
        <w:right w:val="none" w:sz="0" w:space="0" w:color="auto"/>
      </w:divBdr>
    </w:div>
    <w:div w:id="727345075">
      <w:bodyDiv w:val="1"/>
      <w:marLeft w:val="0"/>
      <w:marRight w:val="0"/>
      <w:marTop w:val="0"/>
      <w:marBottom w:val="0"/>
      <w:divBdr>
        <w:top w:val="none" w:sz="0" w:space="0" w:color="auto"/>
        <w:left w:val="none" w:sz="0" w:space="0" w:color="auto"/>
        <w:bottom w:val="none" w:sz="0" w:space="0" w:color="auto"/>
        <w:right w:val="none" w:sz="0" w:space="0" w:color="auto"/>
      </w:divBdr>
    </w:div>
    <w:div w:id="779372186">
      <w:bodyDiv w:val="1"/>
      <w:marLeft w:val="0"/>
      <w:marRight w:val="0"/>
      <w:marTop w:val="0"/>
      <w:marBottom w:val="0"/>
      <w:divBdr>
        <w:top w:val="none" w:sz="0" w:space="0" w:color="auto"/>
        <w:left w:val="none" w:sz="0" w:space="0" w:color="auto"/>
        <w:bottom w:val="none" w:sz="0" w:space="0" w:color="auto"/>
        <w:right w:val="none" w:sz="0" w:space="0" w:color="auto"/>
      </w:divBdr>
    </w:div>
    <w:div w:id="875123949">
      <w:bodyDiv w:val="1"/>
      <w:marLeft w:val="0"/>
      <w:marRight w:val="0"/>
      <w:marTop w:val="0"/>
      <w:marBottom w:val="0"/>
      <w:divBdr>
        <w:top w:val="none" w:sz="0" w:space="0" w:color="auto"/>
        <w:left w:val="none" w:sz="0" w:space="0" w:color="auto"/>
        <w:bottom w:val="none" w:sz="0" w:space="0" w:color="auto"/>
        <w:right w:val="none" w:sz="0" w:space="0" w:color="auto"/>
      </w:divBdr>
    </w:div>
    <w:div w:id="887688888">
      <w:bodyDiv w:val="1"/>
      <w:marLeft w:val="0"/>
      <w:marRight w:val="0"/>
      <w:marTop w:val="0"/>
      <w:marBottom w:val="0"/>
      <w:divBdr>
        <w:top w:val="none" w:sz="0" w:space="0" w:color="auto"/>
        <w:left w:val="none" w:sz="0" w:space="0" w:color="auto"/>
        <w:bottom w:val="none" w:sz="0" w:space="0" w:color="auto"/>
        <w:right w:val="none" w:sz="0" w:space="0" w:color="auto"/>
      </w:divBdr>
    </w:div>
    <w:div w:id="907956680">
      <w:marLeft w:val="0"/>
      <w:marRight w:val="0"/>
      <w:marTop w:val="0"/>
      <w:marBottom w:val="0"/>
      <w:divBdr>
        <w:top w:val="none" w:sz="0" w:space="0" w:color="auto"/>
        <w:left w:val="none" w:sz="0" w:space="0" w:color="auto"/>
        <w:bottom w:val="none" w:sz="0" w:space="0" w:color="auto"/>
        <w:right w:val="none" w:sz="0" w:space="0" w:color="auto"/>
      </w:divBdr>
    </w:div>
    <w:div w:id="907956681">
      <w:marLeft w:val="0"/>
      <w:marRight w:val="0"/>
      <w:marTop w:val="0"/>
      <w:marBottom w:val="0"/>
      <w:divBdr>
        <w:top w:val="none" w:sz="0" w:space="0" w:color="auto"/>
        <w:left w:val="none" w:sz="0" w:space="0" w:color="auto"/>
        <w:bottom w:val="none" w:sz="0" w:space="0" w:color="auto"/>
        <w:right w:val="none" w:sz="0" w:space="0" w:color="auto"/>
      </w:divBdr>
    </w:div>
    <w:div w:id="907956682">
      <w:marLeft w:val="0"/>
      <w:marRight w:val="0"/>
      <w:marTop w:val="0"/>
      <w:marBottom w:val="0"/>
      <w:divBdr>
        <w:top w:val="none" w:sz="0" w:space="0" w:color="auto"/>
        <w:left w:val="none" w:sz="0" w:space="0" w:color="auto"/>
        <w:bottom w:val="none" w:sz="0" w:space="0" w:color="auto"/>
        <w:right w:val="none" w:sz="0" w:space="0" w:color="auto"/>
      </w:divBdr>
    </w:div>
    <w:div w:id="907956683">
      <w:marLeft w:val="0"/>
      <w:marRight w:val="0"/>
      <w:marTop w:val="0"/>
      <w:marBottom w:val="0"/>
      <w:divBdr>
        <w:top w:val="none" w:sz="0" w:space="0" w:color="auto"/>
        <w:left w:val="none" w:sz="0" w:space="0" w:color="auto"/>
        <w:bottom w:val="none" w:sz="0" w:space="0" w:color="auto"/>
        <w:right w:val="none" w:sz="0" w:space="0" w:color="auto"/>
      </w:divBdr>
    </w:div>
    <w:div w:id="907956684">
      <w:marLeft w:val="0"/>
      <w:marRight w:val="0"/>
      <w:marTop w:val="0"/>
      <w:marBottom w:val="0"/>
      <w:divBdr>
        <w:top w:val="none" w:sz="0" w:space="0" w:color="auto"/>
        <w:left w:val="none" w:sz="0" w:space="0" w:color="auto"/>
        <w:bottom w:val="none" w:sz="0" w:space="0" w:color="auto"/>
        <w:right w:val="none" w:sz="0" w:space="0" w:color="auto"/>
      </w:divBdr>
    </w:div>
    <w:div w:id="907956685">
      <w:marLeft w:val="0"/>
      <w:marRight w:val="0"/>
      <w:marTop w:val="0"/>
      <w:marBottom w:val="0"/>
      <w:divBdr>
        <w:top w:val="none" w:sz="0" w:space="0" w:color="auto"/>
        <w:left w:val="none" w:sz="0" w:space="0" w:color="auto"/>
        <w:bottom w:val="none" w:sz="0" w:space="0" w:color="auto"/>
        <w:right w:val="none" w:sz="0" w:space="0" w:color="auto"/>
      </w:divBdr>
    </w:div>
    <w:div w:id="907956686">
      <w:marLeft w:val="0"/>
      <w:marRight w:val="0"/>
      <w:marTop w:val="0"/>
      <w:marBottom w:val="0"/>
      <w:divBdr>
        <w:top w:val="none" w:sz="0" w:space="0" w:color="auto"/>
        <w:left w:val="none" w:sz="0" w:space="0" w:color="auto"/>
        <w:bottom w:val="none" w:sz="0" w:space="0" w:color="auto"/>
        <w:right w:val="none" w:sz="0" w:space="0" w:color="auto"/>
      </w:divBdr>
    </w:div>
    <w:div w:id="907956687">
      <w:marLeft w:val="0"/>
      <w:marRight w:val="0"/>
      <w:marTop w:val="0"/>
      <w:marBottom w:val="0"/>
      <w:divBdr>
        <w:top w:val="none" w:sz="0" w:space="0" w:color="auto"/>
        <w:left w:val="none" w:sz="0" w:space="0" w:color="auto"/>
        <w:bottom w:val="none" w:sz="0" w:space="0" w:color="auto"/>
        <w:right w:val="none" w:sz="0" w:space="0" w:color="auto"/>
      </w:divBdr>
    </w:div>
    <w:div w:id="907956688">
      <w:marLeft w:val="0"/>
      <w:marRight w:val="0"/>
      <w:marTop w:val="0"/>
      <w:marBottom w:val="0"/>
      <w:divBdr>
        <w:top w:val="none" w:sz="0" w:space="0" w:color="auto"/>
        <w:left w:val="none" w:sz="0" w:space="0" w:color="auto"/>
        <w:bottom w:val="none" w:sz="0" w:space="0" w:color="auto"/>
        <w:right w:val="none" w:sz="0" w:space="0" w:color="auto"/>
      </w:divBdr>
    </w:div>
    <w:div w:id="907956689">
      <w:marLeft w:val="0"/>
      <w:marRight w:val="0"/>
      <w:marTop w:val="0"/>
      <w:marBottom w:val="0"/>
      <w:divBdr>
        <w:top w:val="none" w:sz="0" w:space="0" w:color="auto"/>
        <w:left w:val="none" w:sz="0" w:space="0" w:color="auto"/>
        <w:bottom w:val="none" w:sz="0" w:space="0" w:color="auto"/>
        <w:right w:val="none" w:sz="0" w:space="0" w:color="auto"/>
      </w:divBdr>
    </w:div>
    <w:div w:id="907956690">
      <w:marLeft w:val="0"/>
      <w:marRight w:val="0"/>
      <w:marTop w:val="0"/>
      <w:marBottom w:val="0"/>
      <w:divBdr>
        <w:top w:val="none" w:sz="0" w:space="0" w:color="auto"/>
        <w:left w:val="none" w:sz="0" w:space="0" w:color="auto"/>
        <w:bottom w:val="none" w:sz="0" w:space="0" w:color="auto"/>
        <w:right w:val="none" w:sz="0" w:space="0" w:color="auto"/>
      </w:divBdr>
    </w:div>
    <w:div w:id="907956691">
      <w:marLeft w:val="0"/>
      <w:marRight w:val="0"/>
      <w:marTop w:val="0"/>
      <w:marBottom w:val="0"/>
      <w:divBdr>
        <w:top w:val="none" w:sz="0" w:space="0" w:color="auto"/>
        <w:left w:val="none" w:sz="0" w:space="0" w:color="auto"/>
        <w:bottom w:val="none" w:sz="0" w:space="0" w:color="auto"/>
        <w:right w:val="none" w:sz="0" w:space="0" w:color="auto"/>
      </w:divBdr>
    </w:div>
    <w:div w:id="907956692">
      <w:marLeft w:val="0"/>
      <w:marRight w:val="0"/>
      <w:marTop w:val="0"/>
      <w:marBottom w:val="0"/>
      <w:divBdr>
        <w:top w:val="none" w:sz="0" w:space="0" w:color="auto"/>
        <w:left w:val="none" w:sz="0" w:space="0" w:color="auto"/>
        <w:bottom w:val="none" w:sz="0" w:space="0" w:color="auto"/>
        <w:right w:val="none" w:sz="0" w:space="0" w:color="auto"/>
      </w:divBdr>
    </w:div>
    <w:div w:id="907956693">
      <w:marLeft w:val="0"/>
      <w:marRight w:val="0"/>
      <w:marTop w:val="0"/>
      <w:marBottom w:val="0"/>
      <w:divBdr>
        <w:top w:val="none" w:sz="0" w:space="0" w:color="auto"/>
        <w:left w:val="none" w:sz="0" w:space="0" w:color="auto"/>
        <w:bottom w:val="none" w:sz="0" w:space="0" w:color="auto"/>
        <w:right w:val="none" w:sz="0" w:space="0" w:color="auto"/>
      </w:divBdr>
    </w:div>
    <w:div w:id="907956694">
      <w:marLeft w:val="0"/>
      <w:marRight w:val="0"/>
      <w:marTop w:val="0"/>
      <w:marBottom w:val="0"/>
      <w:divBdr>
        <w:top w:val="none" w:sz="0" w:space="0" w:color="auto"/>
        <w:left w:val="none" w:sz="0" w:space="0" w:color="auto"/>
        <w:bottom w:val="none" w:sz="0" w:space="0" w:color="auto"/>
        <w:right w:val="none" w:sz="0" w:space="0" w:color="auto"/>
      </w:divBdr>
    </w:div>
    <w:div w:id="907956695">
      <w:marLeft w:val="0"/>
      <w:marRight w:val="0"/>
      <w:marTop w:val="0"/>
      <w:marBottom w:val="0"/>
      <w:divBdr>
        <w:top w:val="none" w:sz="0" w:space="0" w:color="auto"/>
        <w:left w:val="none" w:sz="0" w:space="0" w:color="auto"/>
        <w:bottom w:val="none" w:sz="0" w:space="0" w:color="auto"/>
        <w:right w:val="none" w:sz="0" w:space="0" w:color="auto"/>
      </w:divBdr>
    </w:div>
    <w:div w:id="907956696">
      <w:marLeft w:val="0"/>
      <w:marRight w:val="0"/>
      <w:marTop w:val="0"/>
      <w:marBottom w:val="0"/>
      <w:divBdr>
        <w:top w:val="none" w:sz="0" w:space="0" w:color="auto"/>
        <w:left w:val="none" w:sz="0" w:space="0" w:color="auto"/>
        <w:bottom w:val="none" w:sz="0" w:space="0" w:color="auto"/>
        <w:right w:val="none" w:sz="0" w:space="0" w:color="auto"/>
      </w:divBdr>
    </w:div>
    <w:div w:id="907956697">
      <w:marLeft w:val="0"/>
      <w:marRight w:val="0"/>
      <w:marTop w:val="0"/>
      <w:marBottom w:val="0"/>
      <w:divBdr>
        <w:top w:val="none" w:sz="0" w:space="0" w:color="auto"/>
        <w:left w:val="none" w:sz="0" w:space="0" w:color="auto"/>
        <w:bottom w:val="none" w:sz="0" w:space="0" w:color="auto"/>
        <w:right w:val="none" w:sz="0" w:space="0" w:color="auto"/>
      </w:divBdr>
    </w:div>
    <w:div w:id="907956698">
      <w:marLeft w:val="0"/>
      <w:marRight w:val="0"/>
      <w:marTop w:val="0"/>
      <w:marBottom w:val="0"/>
      <w:divBdr>
        <w:top w:val="none" w:sz="0" w:space="0" w:color="auto"/>
        <w:left w:val="none" w:sz="0" w:space="0" w:color="auto"/>
        <w:bottom w:val="none" w:sz="0" w:space="0" w:color="auto"/>
        <w:right w:val="none" w:sz="0" w:space="0" w:color="auto"/>
      </w:divBdr>
    </w:div>
    <w:div w:id="907956699">
      <w:marLeft w:val="0"/>
      <w:marRight w:val="0"/>
      <w:marTop w:val="0"/>
      <w:marBottom w:val="0"/>
      <w:divBdr>
        <w:top w:val="none" w:sz="0" w:space="0" w:color="auto"/>
        <w:left w:val="none" w:sz="0" w:space="0" w:color="auto"/>
        <w:bottom w:val="none" w:sz="0" w:space="0" w:color="auto"/>
        <w:right w:val="none" w:sz="0" w:space="0" w:color="auto"/>
      </w:divBdr>
    </w:div>
    <w:div w:id="907956700">
      <w:marLeft w:val="0"/>
      <w:marRight w:val="0"/>
      <w:marTop w:val="0"/>
      <w:marBottom w:val="0"/>
      <w:divBdr>
        <w:top w:val="none" w:sz="0" w:space="0" w:color="auto"/>
        <w:left w:val="none" w:sz="0" w:space="0" w:color="auto"/>
        <w:bottom w:val="none" w:sz="0" w:space="0" w:color="auto"/>
        <w:right w:val="none" w:sz="0" w:space="0" w:color="auto"/>
      </w:divBdr>
    </w:div>
    <w:div w:id="907956701">
      <w:marLeft w:val="0"/>
      <w:marRight w:val="0"/>
      <w:marTop w:val="0"/>
      <w:marBottom w:val="0"/>
      <w:divBdr>
        <w:top w:val="none" w:sz="0" w:space="0" w:color="auto"/>
        <w:left w:val="none" w:sz="0" w:space="0" w:color="auto"/>
        <w:bottom w:val="none" w:sz="0" w:space="0" w:color="auto"/>
        <w:right w:val="none" w:sz="0" w:space="0" w:color="auto"/>
      </w:divBdr>
    </w:div>
    <w:div w:id="907956702">
      <w:marLeft w:val="0"/>
      <w:marRight w:val="0"/>
      <w:marTop w:val="0"/>
      <w:marBottom w:val="0"/>
      <w:divBdr>
        <w:top w:val="none" w:sz="0" w:space="0" w:color="auto"/>
        <w:left w:val="none" w:sz="0" w:space="0" w:color="auto"/>
        <w:bottom w:val="none" w:sz="0" w:space="0" w:color="auto"/>
        <w:right w:val="none" w:sz="0" w:space="0" w:color="auto"/>
      </w:divBdr>
    </w:div>
    <w:div w:id="907956703">
      <w:marLeft w:val="0"/>
      <w:marRight w:val="0"/>
      <w:marTop w:val="0"/>
      <w:marBottom w:val="0"/>
      <w:divBdr>
        <w:top w:val="none" w:sz="0" w:space="0" w:color="auto"/>
        <w:left w:val="none" w:sz="0" w:space="0" w:color="auto"/>
        <w:bottom w:val="none" w:sz="0" w:space="0" w:color="auto"/>
        <w:right w:val="none" w:sz="0" w:space="0" w:color="auto"/>
      </w:divBdr>
    </w:div>
    <w:div w:id="907956704">
      <w:marLeft w:val="0"/>
      <w:marRight w:val="0"/>
      <w:marTop w:val="0"/>
      <w:marBottom w:val="0"/>
      <w:divBdr>
        <w:top w:val="none" w:sz="0" w:space="0" w:color="auto"/>
        <w:left w:val="none" w:sz="0" w:space="0" w:color="auto"/>
        <w:bottom w:val="none" w:sz="0" w:space="0" w:color="auto"/>
        <w:right w:val="none" w:sz="0" w:space="0" w:color="auto"/>
      </w:divBdr>
    </w:div>
    <w:div w:id="907956705">
      <w:marLeft w:val="0"/>
      <w:marRight w:val="0"/>
      <w:marTop w:val="0"/>
      <w:marBottom w:val="0"/>
      <w:divBdr>
        <w:top w:val="none" w:sz="0" w:space="0" w:color="auto"/>
        <w:left w:val="none" w:sz="0" w:space="0" w:color="auto"/>
        <w:bottom w:val="none" w:sz="0" w:space="0" w:color="auto"/>
        <w:right w:val="none" w:sz="0" w:space="0" w:color="auto"/>
      </w:divBdr>
    </w:div>
    <w:div w:id="907956706">
      <w:marLeft w:val="0"/>
      <w:marRight w:val="0"/>
      <w:marTop w:val="0"/>
      <w:marBottom w:val="0"/>
      <w:divBdr>
        <w:top w:val="none" w:sz="0" w:space="0" w:color="auto"/>
        <w:left w:val="none" w:sz="0" w:space="0" w:color="auto"/>
        <w:bottom w:val="none" w:sz="0" w:space="0" w:color="auto"/>
        <w:right w:val="none" w:sz="0" w:space="0" w:color="auto"/>
      </w:divBdr>
    </w:div>
    <w:div w:id="907956707">
      <w:marLeft w:val="0"/>
      <w:marRight w:val="0"/>
      <w:marTop w:val="0"/>
      <w:marBottom w:val="0"/>
      <w:divBdr>
        <w:top w:val="none" w:sz="0" w:space="0" w:color="auto"/>
        <w:left w:val="none" w:sz="0" w:space="0" w:color="auto"/>
        <w:bottom w:val="none" w:sz="0" w:space="0" w:color="auto"/>
        <w:right w:val="none" w:sz="0" w:space="0" w:color="auto"/>
      </w:divBdr>
    </w:div>
    <w:div w:id="907956708">
      <w:marLeft w:val="0"/>
      <w:marRight w:val="0"/>
      <w:marTop w:val="0"/>
      <w:marBottom w:val="0"/>
      <w:divBdr>
        <w:top w:val="none" w:sz="0" w:space="0" w:color="auto"/>
        <w:left w:val="none" w:sz="0" w:space="0" w:color="auto"/>
        <w:bottom w:val="none" w:sz="0" w:space="0" w:color="auto"/>
        <w:right w:val="none" w:sz="0" w:space="0" w:color="auto"/>
      </w:divBdr>
    </w:div>
    <w:div w:id="907956709">
      <w:marLeft w:val="0"/>
      <w:marRight w:val="0"/>
      <w:marTop w:val="0"/>
      <w:marBottom w:val="0"/>
      <w:divBdr>
        <w:top w:val="none" w:sz="0" w:space="0" w:color="auto"/>
        <w:left w:val="none" w:sz="0" w:space="0" w:color="auto"/>
        <w:bottom w:val="none" w:sz="0" w:space="0" w:color="auto"/>
        <w:right w:val="none" w:sz="0" w:space="0" w:color="auto"/>
      </w:divBdr>
    </w:div>
    <w:div w:id="907956710">
      <w:marLeft w:val="0"/>
      <w:marRight w:val="0"/>
      <w:marTop w:val="0"/>
      <w:marBottom w:val="0"/>
      <w:divBdr>
        <w:top w:val="none" w:sz="0" w:space="0" w:color="auto"/>
        <w:left w:val="none" w:sz="0" w:space="0" w:color="auto"/>
        <w:bottom w:val="none" w:sz="0" w:space="0" w:color="auto"/>
        <w:right w:val="none" w:sz="0" w:space="0" w:color="auto"/>
      </w:divBdr>
    </w:div>
    <w:div w:id="907956711">
      <w:marLeft w:val="0"/>
      <w:marRight w:val="0"/>
      <w:marTop w:val="0"/>
      <w:marBottom w:val="0"/>
      <w:divBdr>
        <w:top w:val="none" w:sz="0" w:space="0" w:color="auto"/>
        <w:left w:val="none" w:sz="0" w:space="0" w:color="auto"/>
        <w:bottom w:val="none" w:sz="0" w:space="0" w:color="auto"/>
        <w:right w:val="none" w:sz="0" w:space="0" w:color="auto"/>
      </w:divBdr>
    </w:div>
    <w:div w:id="907956712">
      <w:marLeft w:val="0"/>
      <w:marRight w:val="0"/>
      <w:marTop w:val="0"/>
      <w:marBottom w:val="0"/>
      <w:divBdr>
        <w:top w:val="none" w:sz="0" w:space="0" w:color="auto"/>
        <w:left w:val="none" w:sz="0" w:space="0" w:color="auto"/>
        <w:bottom w:val="none" w:sz="0" w:space="0" w:color="auto"/>
        <w:right w:val="none" w:sz="0" w:space="0" w:color="auto"/>
      </w:divBdr>
    </w:div>
    <w:div w:id="907956713">
      <w:marLeft w:val="0"/>
      <w:marRight w:val="0"/>
      <w:marTop w:val="0"/>
      <w:marBottom w:val="0"/>
      <w:divBdr>
        <w:top w:val="none" w:sz="0" w:space="0" w:color="auto"/>
        <w:left w:val="none" w:sz="0" w:space="0" w:color="auto"/>
        <w:bottom w:val="none" w:sz="0" w:space="0" w:color="auto"/>
        <w:right w:val="none" w:sz="0" w:space="0" w:color="auto"/>
      </w:divBdr>
    </w:div>
    <w:div w:id="907956714">
      <w:marLeft w:val="0"/>
      <w:marRight w:val="0"/>
      <w:marTop w:val="0"/>
      <w:marBottom w:val="0"/>
      <w:divBdr>
        <w:top w:val="none" w:sz="0" w:space="0" w:color="auto"/>
        <w:left w:val="none" w:sz="0" w:space="0" w:color="auto"/>
        <w:bottom w:val="none" w:sz="0" w:space="0" w:color="auto"/>
        <w:right w:val="none" w:sz="0" w:space="0" w:color="auto"/>
      </w:divBdr>
    </w:div>
    <w:div w:id="907956715">
      <w:marLeft w:val="0"/>
      <w:marRight w:val="0"/>
      <w:marTop w:val="0"/>
      <w:marBottom w:val="0"/>
      <w:divBdr>
        <w:top w:val="none" w:sz="0" w:space="0" w:color="auto"/>
        <w:left w:val="none" w:sz="0" w:space="0" w:color="auto"/>
        <w:bottom w:val="none" w:sz="0" w:space="0" w:color="auto"/>
        <w:right w:val="none" w:sz="0" w:space="0" w:color="auto"/>
      </w:divBdr>
    </w:div>
    <w:div w:id="907956716">
      <w:marLeft w:val="0"/>
      <w:marRight w:val="0"/>
      <w:marTop w:val="0"/>
      <w:marBottom w:val="0"/>
      <w:divBdr>
        <w:top w:val="none" w:sz="0" w:space="0" w:color="auto"/>
        <w:left w:val="none" w:sz="0" w:space="0" w:color="auto"/>
        <w:bottom w:val="none" w:sz="0" w:space="0" w:color="auto"/>
        <w:right w:val="none" w:sz="0" w:space="0" w:color="auto"/>
      </w:divBdr>
    </w:div>
    <w:div w:id="907956717">
      <w:marLeft w:val="0"/>
      <w:marRight w:val="0"/>
      <w:marTop w:val="0"/>
      <w:marBottom w:val="0"/>
      <w:divBdr>
        <w:top w:val="none" w:sz="0" w:space="0" w:color="auto"/>
        <w:left w:val="none" w:sz="0" w:space="0" w:color="auto"/>
        <w:bottom w:val="none" w:sz="0" w:space="0" w:color="auto"/>
        <w:right w:val="none" w:sz="0" w:space="0" w:color="auto"/>
      </w:divBdr>
    </w:div>
    <w:div w:id="907956718">
      <w:marLeft w:val="0"/>
      <w:marRight w:val="0"/>
      <w:marTop w:val="0"/>
      <w:marBottom w:val="0"/>
      <w:divBdr>
        <w:top w:val="none" w:sz="0" w:space="0" w:color="auto"/>
        <w:left w:val="none" w:sz="0" w:space="0" w:color="auto"/>
        <w:bottom w:val="none" w:sz="0" w:space="0" w:color="auto"/>
        <w:right w:val="none" w:sz="0" w:space="0" w:color="auto"/>
      </w:divBdr>
    </w:div>
    <w:div w:id="907956719">
      <w:marLeft w:val="0"/>
      <w:marRight w:val="0"/>
      <w:marTop w:val="0"/>
      <w:marBottom w:val="0"/>
      <w:divBdr>
        <w:top w:val="none" w:sz="0" w:space="0" w:color="auto"/>
        <w:left w:val="none" w:sz="0" w:space="0" w:color="auto"/>
        <w:bottom w:val="none" w:sz="0" w:space="0" w:color="auto"/>
        <w:right w:val="none" w:sz="0" w:space="0" w:color="auto"/>
      </w:divBdr>
    </w:div>
    <w:div w:id="907956720">
      <w:marLeft w:val="0"/>
      <w:marRight w:val="0"/>
      <w:marTop w:val="0"/>
      <w:marBottom w:val="0"/>
      <w:divBdr>
        <w:top w:val="none" w:sz="0" w:space="0" w:color="auto"/>
        <w:left w:val="none" w:sz="0" w:space="0" w:color="auto"/>
        <w:bottom w:val="none" w:sz="0" w:space="0" w:color="auto"/>
        <w:right w:val="none" w:sz="0" w:space="0" w:color="auto"/>
      </w:divBdr>
    </w:div>
    <w:div w:id="907956721">
      <w:marLeft w:val="0"/>
      <w:marRight w:val="0"/>
      <w:marTop w:val="0"/>
      <w:marBottom w:val="0"/>
      <w:divBdr>
        <w:top w:val="none" w:sz="0" w:space="0" w:color="auto"/>
        <w:left w:val="none" w:sz="0" w:space="0" w:color="auto"/>
        <w:bottom w:val="none" w:sz="0" w:space="0" w:color="auto"/>
        <w:right w:val="none" w:sz="0" w:space="0" w:color="auto"/>
      </w:divBdr>
    </w:div>
    <w:div w:id="907956722">
      <w:marLeft w:val="0"/>
      <w:marRight w:val="0"/>
      <w:marTop w:val="0"/>
      <w:marBottom w:val="0"/>
      <w:divBdr>
        <w:top w:val="none" w:sz="0" w:space="0" w:color="auto"/>
        <w:left w:val="none" w:sz="0" w:space="0" w:color="auto"/>
        <w:bottom w:val="none" w:sz="0" w:space="0" w:color="auto"/>
        <w:right w:val="none" w:sz="0" w:space="0" w:color="auto"/>
      </w:divBdr>
    </w:div>
    <w:div w:id="907956723">
      <w:marLeft w:val="0"/>
      <w:marRight w:val="0"/>
      <w:marTop w:val="0"/>
      <w:marBottom w:val="0"/>
      <w:divBdr>
        <w:top w:val="none" w:sz="0" w:space="0" w:color="auto"/>
        <w:left w:val="none" w:sz="0" w:space="0" w:color="auto"/>
        <w:bottom w:val="none" w:sz="0" w:space="0" w:color="auto"/>
        <w:right w:val="none" w:sz="0" w:space="0" w:color="auto"/>
      </w:divBdr>
    </w:div>
    <w:div w:id="907956724">
      <w:marLeft w:val="0"/>
      <w:marRight w:val="0"/>
      <w:marTop w:val="0"/>
      <w:marBottom w:val="0"/>
      <w:divBdr>
        <w:top w:val="none" w:sz="0" w:space="0" w:color="auto"/>
        <w:left w:val="none" w:sz="0" w:space="0" w:color="auto"/>
        <w:bottom w:val="none" w:sz="0" w:space="0" w:color="auto"/>
        <w:right w:val="none" w:sz="0" w:space="0" w:color="auto"/>
      </w:divBdr>
    </w:div>
    <w:div w:id="907956725">
      <w:marLeft w:val="0"/>
      <w:marRight w:val="0"/>
      <w:marTop w:val="0"/>
      <w:marBottom w:val="0"/>
      <w:divBdr>
        <w:top w:val="none" w:sz="0" w:space="0" w:color="auto"/>
        <w:left w:val="none" w:sz="0" w:space="0" w:color="auto"/>
        <w:bottom w:val="none" w:sz="0" w:space="0" w:color="auto"/>
        <w:right w:val="none" w:sz="0" w:space="0" w:color="auto"/>
      </w:divBdr>
    </w:div>
    <w:div w:id="907956726">
      <w:marLeft w:val="0"/>
      <w:marRight w:val="0"/>
      <w:marTop w:val="0"/>
      <w:marBottom w:val="0"/>
      <w:divBdr>
        <w:top w:val="none" w:sz="0" w:space="0" w:color="auto"/>
        <w:left w:val="none" w:sz="0" w:space="0" w:color="auto"/>
        <w:bottom w:val="none" w:sz="0" w:space="0" w:color="auto"/>
        <w:right w:val="none" w:sz="0" w:space="0" w:color="auto"/>
      </w:divBdr>
    </w:div>
    <w:div w:id="907956727">
      <w:marLeft w:val="0"/>
      <w:marRight w:val="0"/>
      <w:marTop w:val="0"/>
      <w:marBottom w:val="0"/>
      <w:divBdr>
        <w:top w:val="none" w:sz="0" w:space="0" w:color="auto"/>
        <w:left w:val="none" w:sz="0" w:space="0" w:color="auto"/>
        <w:bottom w:val="none" w:sz="0" w:space="0" w:color="auto"/>
        <w:right w:val="none" w:sz="0" w:space="0" w:color="auto"/>
      </w:divBdr>
    </w:div>
    <w:div w:id="907956728">
      <w:marLeft w:val="0"/>
      <w:marRight w:val="0"/>
      <w:marTop w:val="0"/>
      <w:marBottom w:val="0"/>
      <w:divBdr>
        <w:top w:val="none" w:sz="0" w:space="0" w:color="auto"/>
        <w:left w:val="none" w:sz="0" w:space="0" w:color="auto"/>
        <w:bottom w:val="none" w:sz="0" w:space="0" w:color="auto"/>
        <w:right w:val="none" w:sz="0" w:space="0" w:color="auto"/>
      </w:divBdr>
    </w:div>
    <w:div w:id="907956729">
      <w:marLeft w:val="0"/>
      <w:marRight w:val="0"/>
      <w:marTop w:val="0"/>
      <w:marBottom w:val="0"/>
      <w:divBdr>
        <w:top w:val="none" w:sz="0" w:space="0" w:color="auto"/>
        <w:left w:val="none" w:sz="0" w:space="0" w:color="auto"/>
        <w:bottom w:val="none" w:sz="0" w:space="0" w:color="auto"/>
        <w:right w:val="none" w:sz="0" w:space="0" w:color="auto"/>
      </w:divBdr>
    </w:div>
    <w:div w:id="907956730">
      <w:marLeft w:val="0"/>
      <w:marRight w:val="0"/>
      <w:marTop w:val="0"/>
      <w:marBottom w:val="0"/>
      <w:divBdr>
        <w:top w:val="none" w:sz="0" w:space="0" w:color="auto"/>
        <w:left w:val="none" w:sz="0" w:space="0" w:color="auto"/>
        <w:bottom w:val="none" w:sz="0" w:space="0" w:color="auto"/>
        <w:right w:val="none" w:sz="0" w:space="0" w:color="auto"/>
      </w:divBdr>
    </w:div>
    <w:div w:id="907956731">
      <w:marLeft w:val="0"/>
      <w:marRight w:val="0"/>
      <w:marTop w:val="0"/>
      <w:marBottom w:val="0"/>
      <w:divBdr>
        <w:top w:val="none" w:sz="0" w:space="0" w:color="auto"/>
        <w:left w:val="none" w:sz="0" w:space="0" w:color="auto"/>
        <w:bottom w:val="none" w:sz="0" w:space="0" w:color="auto"/>
        <w:right w:val="none" w:sz="0" w:space="0" w:color="auto"/>
      </w:divBdr>
    </w:div>
    <w:div w:id="907956732">
      <w:marLeft w:val="0"/>
      <w:marRight w:val="0"/>
      <w:marTop w:val="0"/>
      <w:marBottom w:val="0"/>
      <w:divBdr>
        <w:top w:val="none" w:sz="0" w:space="0" w:color="auto"/>
        <w:left w:val="none" w:sz="0" w:space="0" w:color="auto"/>
        <w:bottom w:val="none" w:sz="0" w:space="0" w:color="auto"/>
        <w:right w:val="none" w:sz="0" w:space="0" w:color="auto"/>
      </w:divBdr>
    </w:div>
    <w:div w:id="907956733">
      <w:marLeft w:val="0"/>
      <w:marRight w:val="0"/>
      <w:marTop w:val="0"/>
      <w:marBottom w:val="0"/>
      <w:divBdr>
        <w:top w:val="none" w:sz="0" w:space="0" w:color="auto"/>
        <w:left w:val="none" w:sz="0" w:space="0" w:color="auto"/>
        <w:bottom w:val="none" w:sz="0" w:space="0" w:color="auto"/>
        <w:right w:val="none" w:sz="0" w:space="0" w:color="auto"/>
      </w:divBdr>
    </w:div>
    <w:div w:id="907956734">
      <w:marLeft w:val="0"/>
      <w:marRight w:val="0"/>
      <w:marTop w:val="0"/>
      <w:marBottom w:val="0"/>
      <w:divBdr>
        <w:top w:val="none" w:sz="0" w:space="0" w:color="auto"/>
        <w:left w:val="none" w:sz="0" w:space="0" w:color="auto"/>
        <w:bottom w:val="none" w:sz="0" w:space="0" w:color="auto"/>
        <w:right w:val="none" w:sz="0" w:space="0" w:color="auto"/>
      </w:divBdr>
    </w:div>
    <w:div w:id="907956735">
      <w:marLeft w:val="0"/>
      <w:marRight w:val="0"/>
      <w:marTop w:val="0"/>
      <w:marBottom w:val="0"/>
      <w:divBdr>
        <w:top w:val="none" w:sz="0" w:space="0" w:color="auto"/>
        <w:left w:val="none" w:sz="0" w:space="0" w:color="auto"/>
        <w:bottom w:val="none" w:sz="0" w:space="0" w:color="auto"/>
        <w:right w:val="none" w:sz="0" w:space="0" w:color="auto"/>
      </w:divBdr>
    </w:div>
    <w:div w:id="907956736">
      <w:marLeft w:val="0"/>
      <w:marRight w:val="0"/>
      <w:marTop w:val="0"/>
      <w:marBottom w:val="0"/>
      <w:divBdr>
        <w:top w:val="none" w:sz="0" w:space="0" w:color="auto"/>
        <w:left w:val="none" w:sz="0" w:space="0" w:color="auto"/>
        <w:bottom w:val="none" w:sz="0" w:space="0" w:color="auto"/>
        <w:right w:val="none" w:sz="0" w:space="0" w:color="auto"/>
      </w:divBdr>
    </w:div>
    <w:div w:id="907956737">
      <w:marLeft w:val="0"/>
      <w:marRight w:val="0"/>
      <w:marTop w:val="0"/>
      <w:marBottom w:val="0"/>
      <w:divBdr>
        <w:top w:val="none" w:sz="0" w:space="0" w:color="auto"/>
        <w:left w:val="none" w:sz="0" w:space="0" w:color="auto"/>
        <w:bottom w:val="none" w:sz="0" w:space="0" w:color="auto"/>
        <w:right w:val="none" w:sz="0" w:space="0" w:color="auto"/>
      </w:divBdr>
    </w:div>
    <w:div w:id="907956738">
      <w:marLeft w:val="0"/>
      <w:marRight w:val="0"/>
      <w:marTop w:val="0"/>
      <w:marBottom w:val="0"/>
      <w:divBdr>
        <w:top w:val="none" w:sz="0" w:space="0" w:color="auto"/>
        <w:left w:val="none" w:sz="0" w:space="0" w:color="auto"/>
        <w:bottom w:val="none" w:sz="0" w:space="0" w:color="auto"/>
        <w:right w:val="none" w:sz="0" w:space="0" w:color="auto"/>
      </w:divBdr>
    </w:div>
    <w:div w:id="907956739">
      <w:marLeft w:val="0"/>
      <w:marRight w:val="0"/>
      <w:marTop w:val="0"/>
      <w:marBottom w:val="0"/>
      <w:divBdr>
        <w:top w:val="none" w:sz="0" w:space="0" w:color="auto"/>
        <w:left w:val="none" w:sz="0" w:space="0" w:color="auto"/>
        <w:bottom w:val="none" w:sz="0" w:space="0" w:color="auto"/>
        <w:right w:val="none" w:sz="0" w:space="0" w:color="auto"/>
      </w:divBdr>
    </w:div>
    <w:div w:id="907956740">
      <w:marLeft w:val="0"/>
      <w:marRight w:val="0"/>
      <w:marTop w:val="0"/>
      <w:marBottom w:val="0"/>
      <w:divBdr>
        <w:top w:val="none" w:sz="0" w:space="0" w:color="auto"/>
        <w:left w:val="none" w:sz="0" w:space="0" w:color="auto"/>
        <w:bottom w:val="none" w:sz="0" w:space="0" w:color="auto"/>
        <w:right w:val="none" w:sz="0" w:space="0" w:color="auto"/>
      </w:divBdr>
    </w:div>
    <w:div w:id="907956741">
      <w:marLeft w:val="0"/>
      <w:marRight w:val="0"/>
      <w:marTop w:val="0"/>
      <w:marBottom w:val="0"/>
      <w:divBdr>
        <w:top w:val="none" w:sz="0" w:space="0" w:color="auto"/>
        <w:left w:val="none" w:sz="0" w:space="0" w:color="auto"/>
        <w:bottom w:val="none" w:sz="0" w:space="0" w:color="auto"/>
        <w:right w:val="none" w:sz="0" w:space="0" w:color="auto"/>
      </w:divBdr>
    </w:div>
    <w:div w:id="907956742">
      <w:marLeft w:val="0"/>
      <w:marRight w:val="0"/>
      <w:marTop w:val="0"/>
      <w:marBottom w:val="0"/>
      <w:divBdr>
        <w:top w:val="none" w:sz="0" w:space="0" w:color="auto"/>
        <w:left w:val="none" w:sz="0" w:space="0" w:color="auto"/>
        <w:bottom w:val="none" w:sz="0" w:space="0" w:color="auto"/>
        <w:right w:val="none" w:sz="0" w:space="0" w:color="auto"/>
      </w:divBdr>
    </w:div>
    <w:div w:id="907956743">
      <w:marLeft w:val="0"/>
      <w:marRight w:val="0"/>
      <w:marTop w:val="0"/>
      <w:marBottom w:val="0"/>
      <w:divBdr>
        <w:top w:val="none" w:sz="0" w:space="0" w:color="auto"/>
        <w:left w:val="none" w:sz="0" w:space="0" w:color="auto"/>
        <w:bottom w:val="none" w:sz="0" w:space="0" w:color="auto"/>
        <w:right w:val="none" w:sz="0" w:space="0" w:color="auto"/>
      </w:divBdr>
    </w:div>
    <w:div w:id="907956744">
      <w:marLeft w:val="0"/>
      <w:marRight w:val="0"/>
      <w:marTop w:val="0"/>
      <w:marBottom w:val="0"/>
      <w:divBdr>
        <w:top w:val="none" w:sz="0" w:space="0" w:color="auto"/>
        <w:left w:val="none" w:sz="0" w:space="0" w:color="auto"/>
        <w:bottom w:val="none" w:sz="0" w:space="0" w:color="auto"/>
        <w:right w:val="none" w:sz="0" w:space="0" w:color="auto"/>
      </w:divBdr>
    </w:div>
    <w:div w:id="907956745">
      <w:marLeft w:val="0"/>
      <w:marRight w:val="0"/>
      <w:marTop w:val="0"/>
      <w:marBottom w:val="0"/>
      <w:divBdr>
        <w:top w:val="none" w:sz="0" w:space="0" w:color="auto"/>
        <w:left w:val="none" w:sz="0" w:space="0" w:color="auto"/>
        <w:bottom w:val="none" w:sz="0" w:space="0" w:color="auto"/>
        <w:right w:val="none" w:sz="0" w:space="0" w:color="auto"/>
      </w:divBdr>
    </w:div>
    <w:div w:id="907956746">
      <w:marLeft w:val="0"/>
      <w:marRight w:val="0"/>
      <w:marTop w:val="0"/>
      <w:marBottom w:val="0"/>
      <w:divBdr>
        <w:top w:val="none" w:sz="0" w:space="0" w:color="auto"/>
        <w:left w:val="none" w:sz="0" w:space="0" w:color="auto"/>
        <w:bottom w:val="none" w:sz="0" w:space="0" w:color="auto"/>
        <w:right w:val="none" w:sz="0" w:space="0" w:color="auto"/>
      </w:divBdr>
    </w:div>
    <w:div w:id="907956747">
      <w:marLeft w:val="0"/>
      <w:marRight w:val="0"/>
      <w:marTop w:val="0"/>
      <w:marBottom w:val="0"/>
      <w:divBdr>
        <w:top w:val="none" w:sz="0" w:space="0" w:color="auto"/>
        <w:left w:val="none" w:sz="0" w:space="0" w:color="auto"/>
        <w:bottom w:val="none" w:sz="0" w:space="0" w:color="auto"/>
        <w:right w:val="none" w:sz="0" w:space="0" w:color="auto"/>
      </w:divBdr>
    </w:div>
    <w:div w:id="907956748">
      <w:marLeft w:val="0"/>
      <w:marRight w:val="0"/>
      <w:marTop w:val="0"/>
      <w:marBottom w:val="0"/>
      <w:divBdr>
        <w:top w:val="none" w:sz="0" w:space="0" w:color="auto"/>
        <w:left w:val="none" w:sz="0" w:space="0" w:color="auto"/>
        <w:bottom w:val="none" w:sz="0" w:space="0" w:color="auto"/>
        <w:right w:val="none" w:sz="0" w:space="0" w:color="auto"/>
      </w:divBdr>
    </w:div>
    <w:div w:id="907956749">
      <w:marLeft w:val="0"/>
      <w:marRight w:val="0"/>
      <w:marTop w:val="0"/>
      <w:marBottom w:val="0"/>
      <w:divBdr>
        <w:top w:val="none" w:sz="0" w:space="0" w:color="auto"/>
        <w:left w:val="none" w:sz="0" w:space="0" w:color="auto"/>
        <w:bottom w:val="none" w:sz="0" w:space="0" w:color="auto"/>
        <w:right w:val="none" w:sz="0" w:space="0" w:color="auto"/>
      </w:divBdr>
    </w:div>
    <w:div w:id="907956750">
      <w:marLeft w:val="0"/>
      <w:marRight w:val="0"/>
      <w:marTop w:val="0"/>
      <w:marBottom w:val="0"/>
      <w:divBdr>
        <w:top w:val="none" w:sz="0" w:space="0" w:color="auto"/>
        <w:left w:val="none" w:sz="0" w:space="0" w:color="auto"/>
        <w:bottom w:val="none" w:sz="0" w:space="0" w:color="auto"/>
        <w:right w:val="none" w:sz="0" w:space="0" w:color="auto"/>
      </w:divBdr>
    </w:div>
    <w:div w:id="907956751">
      <w:marLeft w:val="0"/>
      <w:marRight w:val="0"/>
      <w:marTop w:val="0"/>
      <w:marBottom w:val="0"/>
      <w:divBdr>
        <w:top w:val="none" w:sz="0" w:space="0" w:color="auto"/>
        <w:left w:val="none" w:sz="0" w:space="0" w:color="auto"/>
        <w:bottom w:val="none" w:sz="0" w:space="0" w:color="auto"/>
        <w:right w:val="none" w:sz="0" w:space="0" w:color="auto"/>
      </w:divBdr>
    </w:div>
    <w:div w:id="907956752">
      <w:marLeft w:val="0"/>
      <w:marRight w:val="0"/>
      <w:marTop w:val="0"/>
      <w:marBottom w:val="0"/>
      <w:divBdr>
        <w:top w:val="none" w:sz="0" w:space="0" w:color="auto"/>
        <w:left w:val="none" w:sz="0" w:space="0" w:color="auto"/>
        <w:bottom w:val="none" w:sz="0" w:space="0" w:color="auto"/>
        <w:right w:val="none" w:sz="0" w:space="0" w:color="auto"/>
      </w:divBdr>
    </w:div>
    <w:div w:id="907956753">
      <w:marLeft w:val="0"/>
      <w:marRight w:val="0"/>
      <w:marTop w:val="0"/>
      <w:marBottom w:val="0"/>
      <w:divBdr>
        <w:top w:val="none" w:sz="0" w:space="0" w:color="auto"/>
        <w:left w:val="none" w:sz="0" w:space="0" w:color="auto"/>
        <w:bottom w:val="none" w:sz="0" w:space="0" w:color="auto"/>
        <w:right w:val="none" w:sz="0" w:space="0" w:color="auto"/>
      </w:divBdr>
    </w:div>
    <w:div w:id="907956754">
      <w:marLeft w:val="0"/>
      <w:marRight w:val="0"/>
      <w:marTop w:val="0"/>
      <w:marBottom w:val="0"/>
      <w:divBdr>
        <w:top w:val="none" w:sz="0" w:space="0" w:color="auto"/>
        <w:left w:val="none" w:sz="0" w:space="0" w:color="auto"/>
        <w:bottom w:val="none" w:sz="0" w:space="0" w:color="auto"/>
        <w:right w:val="none" w:sz="0" w:space="0" w:color="auto"/>
      </w:divBdr>
    </w:div>
    <w:div w:id="907956755">
      <w:marLeft w:val="0"/>
      <w:marRight w:val="0"/>
      <w:marTop w:val="0"/>
      <w:marBottom w:val="0"/>
      <w:divBdr>
        <w:top w:val="none" w:sz="0" w:space="0" w:color="auto"/>
        <w:left w:val="none" w:sz="0" w:space="0" w:color="auto"/>
        <w:bottom w:val="none" w:sz="0" w:space="0" w:color="auto"/>
        <w:right w:val="none" w:sz="0" w:space="0" w:color="auto"/>
      </w:divBdr>
    </w:div>
    <w:div w:id="907956756">
      <w:marLeft w:val="0"/>
      <w:marRight w:val="0"/>
      <w:marTop w:val="0"/>
      <w:marBottom w:val="0"/>
      <w:divBdr>
        <w:top w:val="none" w:sz="0" w:space="0" w:color="auto"/>
        <w:left w:val="none" w:sz="0" w:space="0" w:color="auto"/>
        <w:bottom w:val="none" w:sz="0" w:space="0" w:color="auto"/>
        <w:right w:val="none" w:sz="0" w:space="0" w:color="auto"/>
      </w:divBdr>
    </w:div>
    <w:div w:id="907956757">
      <w:marLeft w:val="0"/>
      <w:marRight w:val="0"/>
      <w:marTop w:val="0"/>
      <w:marBottom w:val="0"/>
      <w:divBdr>
        <w:top w:val="none" w:sz="0" w:space="0" w:color="auto"/>
        <w:left w:val="none" w:sz="0" w:space="0" w:color="auto"/>
        <w:bottom w:val="none" w:sz="0" w:space="0" w:color="auto"/>
        <w:right w:val="none" w:sz="0" w:space="0" w:color="auto"/>
      </w:divBdr>
    </w:div>
    <w:div w:id="907956758">
      <w:marLeft w:val="0"/>
      <w:marRight w:val="0"/>
      <w:marTop w:val="0"/>
      <w:marBottom w:val="0"/>
      <w:divBdr>
        <w:top w:val="none" w:sz="0" w:space="0" w:color="auto"/>
        <w:left w:val="none" w:sz="0" w:space="0" w:color="auto"/>
        <w:bottom w:val="none" w:sz="0" w:space="0" w:color="auto"/>
        <w:right w:val="none" w:sz="0" w:space="0" w:color="auto"/>
      </w:divBdr>
    </w:div>
    <w:div w:id="907956759">
      <w:marLeft w:val="0"/>
      <w:marRight w:val="0"/>
      <w:marTop w:val="0"/>
      <w:marBottom w:val="0"/>
      <w:divBdr>
        <w:top w:val="none" w:sz="0" w:space="0" w:color="auto"/>
        <w:left w:val="none" w:sz="0" w:space="0" w:color="auto"/>
        <w:bottom w:val="none" w:sz="0" w:space="0" w:color="auto"/>
        <w:right w:val="none" w:sz="0" w:space="0" w:color="auto"/>
      </w:divBdr>
    </w:div>
    <w:div w:id="907956760">
      <w:marLeft w:val="0"/>
      <w:marRight w:val="0"/>
      <w:marTop w:val="0"/>
      <w:marBottom w:val="0"/>
      <w:divBdr>
        <w:top w:val="none" w:sz="0" w:space="0" w:color="auto"/>
        <w:left w:val="none" w:sz="0" w:space="0" w:color="auto"/>
        <w:bottom w:val="none" w:sz="0" w:space="0" w:color="auto"/>
        <w:right w:val="none" w:sz="0" w:space="0" w:color="auto"/>
      </w:divBdr>
    </w:div>
    <w:div w:id="907956761">
      <w:marLeft w:val="0"/>
      <w:marRight w:val="0"/>
      <w:marTop w:val="0"/>
      <w:marBottom w:val="0"/>
      <w:divBdr>
        <w:top w:val="none" w:sz="0" w:space="0" w:color="auto"/>
        <w:left w:val="none" w:sz="0" w:space="0" w:color="auto"/>
        <w:bottom w:val="none" w:sz="0" w:space="0" w:color="auto"/>
        <w:right w:val="none" w:sz="0" w:space="0" w:color="auto"/>
      </w:divBdr>
    </w:div>
    <w:div w:id="927808473">
      <w:bodyDiv w:val="1"/>
      <w:marLeft w:val="0"/>
      <w:marRight w:val="0"/>
      <w:marTop w:val="0"/>
      <w:marBottom w:val="0"/>
      <w:divBdr>
        <w:top w:val="none" w:sz="0" w:space="0" w:color="auto"/>
        <w:left w:val="none" w:sz="0" w:space="0" w:color="auto"/>
        <w:bottom w:val="none" w:sz="0" w:space="0" w:color="auto"/>
        <w:right w:val="none" w:sz="0" w:space="0" w:color="auto"/>
      </w:divBdr>
    </w:div>
    <w:div w:id="972097610">
      <w:bodyDiv w:val="1"/>
      <w:marLeft w:val="0"/>
      <w:marRight w:val="0"/>
      <w:marTop w:val="0"/>
      <w:marBottom w:val="0"/>
      <w:divBdr>
        <w:top w:val="none" w:sz="0" w:space="0" w:color="auto"/>
        <w:left w:val="none" w:sz="0" w:space="0" w:color="auto"/>
        <w:bottom w:val="none" w:sz="0" w:space="0" w:color="auto"/>
        <w:right w:val="none" w:sz="0" w:space="0" w:color="auto"/>
      </w:divBdr>
    </w:div>
    <w:div w:id="1081635719">
      <w:bodyDiv w:val="1"/>
      <w:marLeft w:val="0"/>
      <w:marRight w:val="0"/>
      <w:marTop w:val="0"/>
      <w:marBottom w:val="0"/>
      <w:divBdr>
        <w:top w:val="none" w:sz="0" w:space="0" w:color="auto"/>
        <w:left w:val="none" w:sz="0" w:space="0" w:color="auto"/>
        <w:bottom w:val="none" w:sz="0" w:space="0" w:color="auto"/>
        <w:right w:val="none" w:sz="0" w:space="0" w:color="auto"/>
      </w:divBdr>
    </w:div>
    <w:div w:id="1101947592">
      <w:bodyDiv w:val="1"/>
      <w:marLeft w:val="0"/>
      <w:marRight w:val="0"/>
      <w:marTop w:val="0"/>
      <w:marBottom w:val="0"/>
      <w:divBdr>
        <w:top w:val="none" w:sz="0" w:space="0" w:color="auto"/>
        <w:left w:val="none" w:sz="0" w:space="0" w:color="auto"/>
        <w:bottom w:val="none" w:sz="0" w:space="0" w:color="auto"/>
        <w:right w:val="none" w:sz="0" w:space="0" w:color="auto"/>
      </w:divBdr>
    </w:div>
    <w:div w:id="1117673162">
      <w:bodyDiv w:val="1"/>
      <w:marLeft w:val="0"/>
      <w:marRight w:val="0"/>
      <w:marTop w:val="0"/>
      <w:marBottom w:val="0"/>
      <w:divBdr>
        <w:top w:val="none" w:sz="0" w:space="0" w:color="auto"/>
        <w:left w:val="none" w:sz="0" w:space="0" w:color="auto"/>
        <w:bottom w:val="none" w:sz="0" w:space="0" w:color="auto"/>
        <w:right w:val="none" w:sz="0" w:space="0" w:color="auto"/>
      </w:divBdr>
    </w:div>
    <w:div w:id="1120612137">
      <w:bodyDiv w:val="1"/>
      <w:marLeft w:val="0"/>
      <w:marRight w:val="0"/>
      <w:marTop w:val="0"/>
      <w:marBottom w:val="0"/>
      <w:divBdr>
        <w:top w:val="none" w:sz="0" w:space="0" w:color="auto"/>
        <w:left w:val="none" w:sz="0" w:space="0" w:color="auto"/>
        <w:bottom w:val="none" w:sz="0" w:space="0" w:color="auto"/>
        <w:right w:val="none" w:sz="0" w:space="0" w:color="auto"/>
      </w:divBdr>
    </w:div>
    <w:div w:id="1130904413">
      <w:bodyDiv w:val="1"/>
      <w:marLeft w:val="0"/>
      <w:marRight w:val="0"/>
      <w:marTop w:val="0"/>
      <w:marBottom w:val="0"/>
      <w:divBdr>
        <w:top w:val="none" w:sz="0" w:space="0" w:color="auto"/>
        <w:left w:val="none" w:sz="0" w:space="0" w:color="auto"/>
        <w:bottom w:val="none" w:sz="0" w:space="0" w:color="auto"/>
        <w:right w:val="none" w:sz="0" w:space="0" w:color="auto"/>
      </w:divBdr>
    </w:div>
    <w:div w:id="1131099437">
      <w:bodyDiv w:val="1"/>
      <w:marLeft w:val="0"/>
      <w:marRight w:val="0"/>
      <w:marTop w:val="0"/>
      <w:marBottom w:val="0"/>
      <w:divBdr>
        <w:top w:val="none" w:sz="0" w:space="0" w:color="auto"/>
        <w:left w:val="none" w:sz="0" w:space="0" w:color="auto"/>
        <w:bottom w:val="none" w:sz="0" w:space="0" w:color="auto"/>
        <w:right w:val="none" w:sz="0" w:space="0" w:color="auto"/>
      </w:divBdr>
    </w:div>
    <w:div w:id="1183204984">
      <w:bodyDiv w:val="1"/>
      <w:marLeft w:val="0"/>
      <w:marRight w:val="0"/>
      <w:marTop w:val="0"/>
      <w:marBottom w:val="0"/>
      <w:divBdr>
        <w:top w:val="none" w:sz="0" w:space="0" w:color="auto"/>
        <w:left w:val="none" w:sz="0" w:space="0" w:color="auto"/>
        <w:bottom w:val="none" w:sz="0" w:space="0" w:color="auto"/>
        <w:right w:val="none" w:sz="0" w:space="0" w:color="auto"/>
      </w:divBdr>
    </w:div>
    <w:div w:id="1191335873">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222642101">
      <w:bodyDiv w:val="1"/>
      <w:marLeft w:val="0"/>
      <w:marRight w:val="0"/>
      <w:marTop w:val="0"/>
      <w:marBottom w:val="0"/>
      <w:divBdr>
        <w:top w:val="none" w:sz="0" w:space="0" w:color="auto"/>
        <w:left w:val="none" w:sz="0" w:space="0" w:color="auto"/>
        <w:bottom w:val="none" w:sz="0" w:space="0" w:color="auto"/>
        <w:right w:val="none" w:sz="0" w:space="0" w:color="auto"/>
      </w:divBdr>
    </w:div>
    <w:div w:id="1242524504">
      <w:bodyDiv w:val="1"/>
      <w:marLeft w:val="0"/>
      <w:marRight w:val="0"/>
      <w:marTop w:val="0"/>
      <w:marBottom w:val="0"/>
      <w:divBdr>
        <w:top w:val="none" w:sz="0" w:space="0" w:color="auto"/>
        <w:left w:val="none" w:sz="0" w:space="0" w:color="auto"/>
        <w:bottom w:val="none" w:sz="0" w:space="0" w:color="auto"/>
        <w:right w:val="none" w:sz="0" w:space="0" w:color="auto"/>
      </w:divBdr>
    </w:div>
    <w:div w:id="1253509346">
      <w:bodyDiv w:val="1"/>
      <w:marLeft w:val="0"/>
      <w:marRight w:val="0"/>
      <w:marTop w:val="0"/>
      <w:marBottom w:val="0"/>
      <w:divBdr>
        <w:top w:val="none" w:sz="0" w:space="0" w:color="auto"/>
        <w:left w:val="none" w:sz="0" w:space="0" w:color="auto"/>
        <w:bottom w:val="none" w:sz="0" w:space="0" w:color="auto"/>
        <w:right w:val="none" w:sz="0" w:space="0" w:color="auto"/>
      </w:divBdr>
    </w:div>
    <w:div w:id="1284191681">
      <w:bodyDiv w:val="1"/>
      <w:marLeft w:val="0"/>
      <w:marRight w:val="0"/>
      <w:marTop w:val="0"/>
      <w:marBottom w:val="0"/>
      <w:divBdr>
        <w:top w:val="none" w:sz="0" w:space="0" w:color="auto"/>
        <w:left w:val="none" w:sz="0" w:space="0" w:color="auto"/>
        <w:bottom w:val="none" w:sz="0" w:space="0" w:color="auto"/>
        <w:right w:val="none" w:sz="0" w:space="0" w:color="auto"/>
      </w:divBdr>
    </w:div>
    <w:div w:id="1287540147">
      <w:bodyDiv w:val="1"/>
      <w:marLeft w:val="0"/>
      <w:marRight w:val="0"/>
      <w:marTop w:val="0"/>
      <w:marBottom w:val="0"/>
      <w:divBdr>
        <w:top w:val="none" w:sz="0" w:space="0" w:color="auto"/>
        <w:left w:val="none" w:sz="0" w:space="0" w:color="auto"/>
        <w:bottom w:val="none" w:sz="0" w:space="0" w:color="auto"/>
        <w:right w:val="none" w:sz="0" w:space="0" w:color="auto"/>
      </w:divBdr>
    </w:div>
    <w:div w:id="1306617984">
      <w:bodyDiv w:val="1"/>
      <w:marLeft w:val="0"/>
      <w:marRight w:val="0"/>
      <w:marTop w:val="0"/>
      <w:marBottom w:val="0"/>
      <w:divBdr>
        <w:top w:val="none" w:sz="0" w:space="0" w:color="auto"/>
        <w:left w:val="none" w:sz="0" w:space="0" w:color="auto"/>
        <w:bottom w:val="none" w:sz="0" w:space="0" w:color="auto"/>
        <w:right w:val="none" w:sz="0" w:space="0" w:color="auto"/>
      </w:divBdr>
    </w:div>
    <w:div w:id="1337227036">
      <w:bodyDiv w:val="1"/>
      <w:marLeft w:val="0"/>
      <w:marRight w:val="0"/>
      <w:marTop w:val="0"/>
      <w:marBottom w:val="0"/>
      <w:divBdr>
        <w:top w:val="none" w:sz="0" w:space="0" w:color="auto"/>
        <w:left w:val="none" w:sz="0" w:space="0" w:color="auto"/>
        <w:bottom w:val="none" w:sz="0" w:space="0" w:color="auto"/>
        <w:right w:val="none" w:sz="0" w:space="0" w:color="auto"/>
      </w:divBdr>
    </w:div>
    <w:div w:id="1360007253">
      <w:bodyDiv w:val="1"/>
      <w:marLeft w:val="0"/>
      <w:marRight w:val="0"/>
      <w:marTop w:val="0"/>
      <w:marBottom w:val="0"/>
      <w:divBdr>
        <w:top w:val="none" w:sz="0" w:space="0" w:color="auto"/>
        <w:left w:val="none" w:sz="0" w:space="0" w:color="auto"/>
        <w:bottom w:val="none" w:sz="0" w:space="0" w:color="auto"/>
        <w:right w:val="none" w:sz="0" w:space="0" w:color="auto"/>
      </w:divBdr>
    </w:div>
    <w:div w:id="1366564896">
      <w:bodyDiv w:val="1"/>
      <w:marLeft w:val="0"/>
      <w:marRight w:val="0"/>
      <w:marTop w:val="0"/>
      <w:marBottom w:val="0"/>
      <w:divBdr>
        <w:top w:val="none" w:sz="0" w:space="0" w:color="auto"/>
        <w:left w:val="none" w:sz="0" w:space="0" w:color="auto"/>
        <w:bottom w:val="none" w:sz="0" w:space="0" w:color="auto"/>
        <w:right w:val="none" w:sz="0" w:space="0" w:color="auto"/>
      </w:divBdr>
    </w:div>
    <w:div w:id="1372684087">
      <w:bodyDiv w:val="1"/>
      <w:marLeft w:val="0"/>
      <w:marRight w:val="0"/>
      <w:marTop w:val="0"/>
      <w:marBottom w:val="0"/>
      <w:divBdr>
        <w:top w:val="none" w:sz="0" w:space="0" w:color="auto"/>
        <w:left w:val="none" w:sz="0" w:space="0" w:color="auto"/>
        <w:bottom w:val="none" w:sz="0" w:space="0" w:color="auto"/>
        <w:right w:val="none" w:sz="0" w:space="0" w:color="auto"/>
      </w:divBdr>
    </w:div>
    <w:div w:id="1431662484">
      <w:bodyDiv w:val="1"/>
      <w:marLeft w:val="0"/>
      <w:marRight w:val="0"/>
      <w:marTop w:val="0"/>
      <w:marBottom w:val="0"/>
      <w:divBdr>
        <w:top w:val="none" w:sz="0" w:space="0" w:color="auto"/>
        <w:left w:val="none" w:sz="0" w:space="0" w:color="auto"/>
        <w:bottom w:val="none" w:sz="0" w:space="0" w:color="auto"/>
        <w:right w:val="none" w:sz="0" w:space="0" w:color="auto"/>
      </w:divBdr>
    </w:div>
    <w:div w:id="1437023151">
      <w:bodyDiv w:val="1"/>
      <w:marLeft w:val="0"/>
      <w:marRight w:val="0"/>
      <w:marTop w:val="0"/>
      <w:marBottom w:val="0"/>
      <w:divBdr>
        <w:top w:val="none" w:sz="0" w:space="0" w:color="auto"/>
        <w:left w:val="none" w:sz="0" w:space="0" w:color="auto"/>
        <w:bottom w:val="none" w:sz="0" w:space="0" w:color="auto"/>
        <w:right w:val="none" w:sz="0" w:space="0" w:color="auto"/>
      </w:divBdr>
    </w:div>
    <w:div w:id="1452553256">
      <w:bodyDiv w:val="1"/>
      <w:marLeft w:val="0"/>
      <w:marRight w:val="0"/>
      <w:marTop w:val="0"/>
      <w:marBottom w:val="0"/>
      <w:divBdr>
        <w:top w:val="none" w:sz="0" w:space="0" w:color="auto"/>
        <w:left w:val="none" w:sz="0" w:space="0" w:color="auto"/>
        <w:bottom w:val="none" w:sz="0" w:space="0" w:color="auto"/>
        <w:right w:val="none" w:sz="0" w:space="0" w:color="auto"/>
      </w:divBdr>
    </w:div>
    <w:div w:id="1474635087">
      <w:bodyDiv w:val="1"/>
      <w:marLeft w:val="0"/>
      <w:marRight w:val="0"/>
      <w:marTop w:val="0"/>
      <w:marBottom w:val="0"/>
      <w:divBdr>
        <w:top w:val="none" w:sz="0" w:space="0" w:color="auto"/>
        <w:left w:val="none" w:sz="0" w:space="0" w:color="auto"/>
        <w:bottom w:val="none" w:sz="0" w:space="0" w:color="auto"/>
        <w:right w:val="none" w:sz="0" w:space="0" w:color="auto"/>
      </w:divBdr>
    </w:div>
    <w:div w:id="1475416536">
      <w:bodyDiv w:val="1"/>
      <w:marLeft w:val="0"/>
      <w:marRight w:val="0"/>
      <w:marTop w:val="0"/>
      <w:marBottom w:val="0"/>
      <w:divBdr>
        <w:top w:val="none" w:sz="0" w:space="0" w:color="auto"/>
        <w:left w:val="none" w:sz="0" w:space="0" w:color="auto"/>
        <w:bottom w:val="none" w:sz="0" w:space="0" w:color="auto"/>
        <w:right w:val="none" w:sz="0" w:space="0" w:color="auto"/>
      </w:divBdr>
    </w:div>
    <w:div w:id="1652445442">
      <w:bodyDiv w:val="1"/>
      <w:marLeft w:val="0"/>
      <w:marRight w:val="0"/>
      <w:marTop w:val="0"/>
      <w:marBottom w:val="0"/>
      <w:divBdr>
        <w:top w:val="none" w:sz="0" w:space="0" w:color="auto"/>
        <w:left w:val="none" w:sz="0" w:space="0" w:color="auto"/>
        <w:bottom w:val="none" w:sz="0" w:space="0" w:color="auto"/>
        <w:right w:val="none" w:sz="0" w:space="0" w:color="auto"/>
      </w:divBdr>
    </w:div>
    <w:div w:id="1655791217">
      <w:bodyDiv w:val="1"/>
      <w:marLeft w:val="0"/>
      <w:marRight w:val="0"/>
      <w:marTop w:val="0"/>
      <w:marBottom w:val="0"/>
      <w:divBdr>
        <w:top w:val="none" w:sz="0" w:space="0" w:color="auto"/>
        <w:left w:val="none" w:sz="0" w:space="0" w:color="auto"/>
        <w:bottom w:val="none" w:sz="0" w:space="0" w:color="auto"/>
        <w:right w:val="none" w:sz="0" w:space="0" w:color="auto"/>
      </w:divBdr>
    </w:div>
    <w:div w:id="1678799590">
      <w:bodyDiv w:val="1"/>
      <w:marLeft w:val="0"/>
      <w:marRight w:val="0"/>
      <w:marTop w:val="0"/>
      <w:marBottom w:val="0"/>
      <w:divBdr>
        <w:top w:val="none" w:sz="0" w:space="0" w:color="auto"/>
        <w:left w:val="none" w:sz="0" w:space="0" w:color="auto"/>
        <w:bottom w:val="none" w:sz="0" w:space="0" w:color="auto"/>
        <w:right w:val="none" w:sz="0" w:space="0" w:color="auto"/>
      </w:divBdr>
    </w:div>
    <w:div w:id="1756704402">
      <w:bodyDiv w:val="1"/>
      <w:marLeft w:val="0"/>
      <w:marRight w:val="0"/>
      <w:marTop w:val="0"/>
      <w:marBottom w:val="0"/>
      <w:divBdr>
        <w:top w:val="none" w:sz="0" w:space="0" w:color="auto"/>
        <w:left w:val="none" w:sz="0" w:space="0" w:color="auto"/>
        <w:bottom w:val="none" w:sz="0" w:space="0" w:color="auto"/>
        <w:right w:val="none" w:sz="0" w:space="0" w:color="auto"/>
      </w:divBdr>
    </w:div>
    <w:div w:id="1762602833">
      <w:bodyDiv w:val="1"/>
      <w:marLeft w:val="0"/>
      <w:marRight w:val="0"/>
      <w:marTop w:val="0"/>
      <w:marBottom w:val="0"/>
      <w:divBdr>
        <w:top w:val="none" w:sz="0" w:space="0" w:color="auto"/>
        <w:left w:val="none" w:sz="0" w:space="0" w:color="auto"/>
        <w:bottom w:val="none" w:sz="0" w:space="0" w:color="auto"/>
        <w:right w:val="none" w:sz="0" w:space="0" w:color="auto"/>
      </w:divBdr>
    </w:div>
    <w:div w:id="1769811717">
      <w:bodyDiv w:val="1"/>
      <w:marLeft w:val="0"/>
      <w:marRight w:val="0"/>
      <w:marTop w:val="0"/>
      <w:marBottom w:val="0"/>
      <w:divBdr>
        <w:top w:val="none" w:sz="0" w:space="0" w:color="auto"/>
        <w:left w:val="none" w:sz="0" w:space="0" w:color="auto"/>
        <w:bottom w:val="none" w:sz="0" w:space="0" w:color="auto"/>
        <w:right w:val="none" w:sz="0" w:space="0" w:color="auto"/>
      </w:divBdr>
    </w:div>
    <w:div w:id="1776830125">
      <w:bodyDiv w:val="1"/>
      <w:marLeft w:val="0"/>
      <w:marRight w:val="0"/>
      <w:marTop w:val="0"/>
      <w:marBottom w:val="0"/>
      <w:divBdr>
        <w:top w:val="none" w:sz="0" w:space="0" w:color="auto"/>
        <w:left w:val="none" w:sz="0" w:space="0" w:color="auto"/>
        <w:bottom w:val="none" w:sz="0" w:space="0" w:color="auto"/>
        <w:right w:val="none" w:sz="0" w:space="0" w:color="auto"/>
      </w:divBdr>
    </w:div>
    <w:div w:id="1780834766">
      <w:bodyDiv w:val="1"/>
      <w:marLeft w:val="0"/>
      <w:marRight w:val="0"/>
      <w:marTop w:val="0"/>
      <w:marBottom w:val="0"/>
      <w:divBdr>
        <w:top w:val="none" w:sz="0" w:space="0" w:color="auto"/>
        <w:left w:val="none" w:sz="0" w:space="0" w:color="auto"/>
        <w:bottom w:val="none" w:sz="0" w:space="0" w:color="auto"/>
        <w:right w:val="none" w:sz="0" w:space="0" w:color="auto"/>
      </w:divBdr>
    </w:div>
    <w:div w:id="1782072223">
      <w:bodyDiv w:val="1"/>
      <w:marLeft w:val="0"/>
      <w:marRight w:val="0"/>
      <w:marTop w:val="0"/>
      <w:marBottom w:val="0"/>
      <w:divBdr>
        <w:top w:val="none" w:sz="0" w:space="0" w:color="auto"/>
        <w:left w:val="none" w:sz="0" w:space="0" w:color="auto"/>
        <w:bottom w:val="none" w:sz="0" w:space="0" w:color="auto"/>
        <w:right w:val="none" w:sz="0" w:space="0" w:color="auto"/>
      </w:divBdr>
    </w:div>
    <w:div w:id="1816877092">
      <w:bodyDiv w:val="1"/>
      <w:marLeft w:val="0"/>
      <w:marRight w:val="0"/>
      <w:marTop w:val="0"/>
      <w:marBottom w:val="0"/>
      <w:divBdr>
        <w:top w:val="none" w:sz="0" w:space="0" w:color="auto"/>
        <w:left w:val="none" w:sz="0" w:space="0" w:color="auto"/>
        <w:bottom w:val="none" w:sz="0" w:space="0" w:color="auto"/>
        <w:right w:val="none" w:sz="0" w:space="0" w:color="auto"/>
      </w:divBdr>
    </w:div>
    <w:div w:id="1822959436">
      <w:bodyDiv w:val="1"/>
      <w:marLeft w:val="0"/>
      <w:marRight w:val="0"/>
      <w:marTop w:val="0"/>
      <w:marBottom w:val="0"/>
      <w:divBdr>
        <w:top w:val="none" w:sz="0" w:space="0" w:color="auto"/>
        <w:left w:val="none" w:sz="0" w:space="0" w:color="auto"/>
        <w:bottom w:val="none" w:sz="0" w:space="0" w:color="auto"/>
        <w:right w:val="none" w:sz="0" w:space="0" w:color="auto"/>
      </w:divBdr>
    </w:div>
    <w:div w:id="1825857178">
      <w:bodyDiv w:val="1"/>
      <w:marLeft w:val="0"/>
      <w:marRight w:val="0"/>
      <w:marTop w:val="0"/>
      <w:marBottom w:val="0"/>
      <w:divBdr>
        <w:top w:val="none" w:sz="0" w:space="0" w:color="auto"/>
        <w:left w:val="none" w:sz="0" w:space="0" w:color="auto"/>
        <w:bottom w:val="none" w:sz="0" w:space="0" w:color="auto"/>
        <w:right w:val="none" w:sz="0" w:space="0" w:color="auto"/>
      </w:divBdr>
    </w:div>
    <w:div w:id="1833371181">
      <w:bodyDiv w:val="1"/>
      <w:marLeft w:val="0"/>
      <w:marRight w:val="0"/>
      <w:marTop w:val="0"/>
      <w:marBottom w:val="0"/>
      <w:divBdr>
        <w:top w:val="none" w:sz="0" w:space="0" w:color="auto"/>
        <w:left w:val="none" w:sz="0" w:space="0" w:color="auto"/>
        <w:bottom w:val="none" w:sz="0" w:space="0" w:color="auto"/>
        <w:right w:val="none" w:sz="0" w:space="0" w:color="auto"/>
      </w:divBdr>
    </w:div>
    <w:div w:id="1851213339">
      <w:bodyDiv w:val="1"/>
      <w:marLeft w:val="0"/>
      <w:marRight w:val="0"/>
      <w:marTop w:val="0"/>
      <w:marBottom w:val="0"/>
      <w:divBdr>
        <w:top w:val="none" w:sz="0" w:space="0" w:color="auto"/>
        <w:left w:val="none" w:sz="0" w:space="0" w:color="auto"/>
        <w:bottom w:val="none" w:sz="0" w:space="0" w:color="auto"/>
        <w:right w:val="none" w:sz="0" w:space="0" w:color="auto"/>
      </w:divBdr>
    </w:div>
    <w:div w:id="1867980413">
      <w:bodyDiv w:val="1"/>
      <w:marLeft w:val="0"/>
      <w:marRight w:val="0"/>
      <w:marTop w:val="0"/>
      <w:marBottom w:val="0"/>
      <w:divBdr>
        <w:top w:val="none" w:sz="0" w:space="0" w:color="auto"/>
        <w:left w:val="none" w:sz="0" w:space="0" w:color="auto"/>
        <w:bottom w:val="none" w:sz="0" w:space="0" w:color="auto"/>
        <w:right w:val="none" w:sz="0" w:space="0" w:color="auto"/>
      </w:divBdr>
    </w:div>
    <w:div w:id="1876893500">
      <w:bodyDiv w:val="1"/>
      <w:marLeft w:val="0"/>
      <w:marRight w:val="0"/>
      <w:marTop w:val="0"/>
      <w:marBottom w:val="0"/>
      <w:divBdr>
        <w:top w:val="none" w:sz="0" w:space="0" w:color="auto"/>
        <w:left w:val="none" w:sz="0" w:space="0" w:color="auto"/>
        <w:bottom w:val="none" w:sz="0" w:space="0" w:color="auto"/>
        <w:right w:val="none" w:sz="0" w:space="0" w:color="auto"/>
      </w:divBdr>
    </w:div>
    <w:div w:id="1886091498">
      <w:bodyDiv w:val="1"/>
      <w:marLeft w:val="0"/>
      <w:marRight w:val="0"/>
      <w:marTop w:val="0"/>
      <w:marBottom w:val="0"/>
      <w:divBdr>
        <w:top w:val="none" w:sz="0" w:space="0" w:color="auto"/>
        <w:left w:val="none" w:sz="0" w:space="0" w:color="auto"/>
        <w:bottom w:val="none" w:sz="0" w:space="0" w:color="auto"/>
        <w:right w:val="none" w:sz="0" w:space="0" w:color="auto"/>
      </w:divBdr>
    </w:div>
    <w:div w:id="1890338405">
      <w:bodyDiv w:val="1"/>
      <w:marLeft w:val="0"/>
      <w:marRight w:val="0"/>
      <w:marTop w:val="0"/>
      <w:marBottom w:val="0"/>
      <w:divBdr>
        <w:top w:val="none" w:sz="0" w:space="0" w:color="auto"/>
        <w:left w:val="none" w:sz="0" w:space="0" w:color="auto"/>
        <w:bottom w:val="none" w:sz="0" w:space="0" w:color="auto"/>
        <w:right w:val="none" w:sz="0" w:space="0" w:color="auto"/>
      </w:divBdr>
    </w:div>
    <w:div w:id="1943996202">
      <w:bodyDiv w:val="1"/>
      <w:marLeft w:val="0"/>
      <w:marRight w:val="0"/>
      <w:marTop w:val="0"/>
      <w:marBottom w:val="0"/>
      <w:divBdr>
        <w:top w:val="none" w:sz="0" w:space="0" w:color="auto"/>
        <w:left w:val="none" w:sz="0" w:space="0" w:color="auto"/>
        <w:bottom w:val="none" w:sz="0" w:space="0" w:color="auto"/>
        <w:right w:val="none" w:sz="0" w:space="0" w:color="auto"/>
      </w:divBdr>
    </w:div>
    <w:div w:id="1951669335">
      <w:bodyDiv w:val="1"/>
      <w:marLeft w:val="0"/>
      <w:marRight w:val="0"/>
      <w:marTop w:val="0"/>
      <w:marBottom w:val="0"/>
      <w:divBdr>
        <w:top w:val="none" w:sz="0" w:space="0" w:color="auto"/>
        <w:left w:val="none" w:sz="0" w:space="0" w:color="auto"/>
        <w:bottom w:val="none" w:sz="0" w:space="0" w:color="auto"/>
        <w:right w:val="none" w:sz="0" w:space="0" w:color="auto"/>
      </w:divBdr>
    </w:div>
    <w:div w:id="1988124561">
      <w:bodyDiv w:val="1"/>
      <w:marLeft w:val="0"/>
      <w:marRight w:val="0"/>
      <w:marTop w:val="0"/>
      <w:marBottom w:val="0"/>
      <w:divBdr>
        <w:top w:val="none" w:sz="0" w:space="0" w:color="auto"/>
        <w:left w:val="none" w:sz="0" w:space="0" w:color="auto"/>
        <w:bottom w:val="none" w:sz="0" w:space="0" w:color="auto"/>
        <w:right w:val="none" w:sz="0" w:space="0" w:color="auto"/>
      </w:divBdr>
    </w:div>
    <w:div w:id="21288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4F2D-2B83-4574-907E-CE30C0D7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2484</Words>
  <Characters>13417</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ΕΚΘΕΣΗ ΔΙΟΙΚΗΤΙΚΟΥ ΣΥΜΒΟΥΛΙΟΥ DELTA HOTELIA AE</vt:lpstr>
      <vt:lpstr>ΕΚΘΕΣΗ ΔΙΟΙΚΗΤΙΚΟΥ ΣΥΜΒΟΥΛΙΟΥ DELTA HOTELIA AE</vt:lpstr>
    </vt:vector>
  </TitlesOfParts>
  <Company>home</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ΔΙΟΙΚΗΤΙΚΟΥ ΣΥΜΒΟΥΛΙΟΥ DELTA HOTELIA AE</dc:title>
  <dc:creator>TURBO_X</dc:creator>
  <cp:lastModifiedBy>Windows User</cp:lastModifiedBy>
  <cp:revision>4</cp:revision>
  <cp:lastPrinted>2018-07-23T13:54:00Z</cp:lastPrinted>
  <dcterms:created xsi:type="dcterms:W3CDTF">2019-07-16T05:50:00Z</dcterms:created>
  <dcterms:modified xsi:type="dcterms:W3CDTF">2019-08-30T21:56:00Z</dcterms:modified>
</cp:coreProperties>
</file>